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74456" w14:textId="77777777" w:rsidR="00C442A2" w:rsidRPr="00726920" w:rsidRDefault="00C442A2" w:rsidP="005F5D2F">
      <w:pPr>
        <w:pStyle w:val="Heading1"/>
      </w:pPr>
      <w:r>
        <w:fldChar w:fldCharType="begin"/>
      </w:r>
      <w:r>
        <w:instrText xml:space="preserve"> MACROBUTTON NUMBERING </w:instrText>
      </w:r>
      <w:r>
        <w:fldChar w:fldCharType="begin"/>
      </w:r>
      <w:r>
        <w:instrText xml:space="preserve"> SEQ  cpara \h \r 0</w:instrText>
      </w:r>
      <w:r>
        <w:fldChar w:fldCharType="end"/>
      </w:r>
      <w:r>
        <w:fldChar w:fldCharType="begin"/>
      </w:r>
      <w:r>
        <w:instrText xml:space="preserve"> SEQ  ccount \h</w:instrText>
      </w:r>
      <w:r>
        <w:fldChar w:fldCharType="end"/>
      </w:r>
      <w:r>
        <w:fldChar w:fldCharType="end"/>
      </w:r>
      <w:r w:rsidRPr="00726920">
        <w:t>Guide du lecteur</w:t>
      </w:r>
    </w:p>
    <w:p w14:paraId="38B74457" w14:textId="77777777" w:rsidR="00C442A2" w:rsidRPr="00726920" w:rsidRDefault="00C442A2" w:rsidP="005F5D2F">
      <w:pPr>
        <w:pStyle w:val="Heading2"/>
      </w:pPr>
      <w:r w:rsidRPr="00726920">
        <w:t>Présentation et contenu</w:t>
      </w:r>
    </w:p>
    <w:p w14:paraId="38B74458" w14:textId="0D7E881A" w:rsidR="00C442A2" w:rsidRPr="00726920" w:rsidRDefault="00C442A2" w:rsidP="005F5D2F">
      <w:pPr>
        <w:pStyle w:val="BodyText"/>
      </w:pPr>
      <w:r>
        <w:t>C</w:t>
      </w:r>
      <w:r w:rsidRPr="00726920">
        <w:t xml:space="preserve">haque indicateur est accompagné par un texte relativement court. Le premier paragraphe décrit en termes généraux ce que l’indicateur permet de mesurer et pourquoi l’indicateur est important. Le lecteur trouvera ensuite une description plus détaillée des concepts sous-jacents (Définition) conformes aux définitions du Système de comptabilité nationale de </w:t>
      </w:r>
      <w:r w:rsidR="002B02E7">
        <w:t>2008</w:t>
      </w:r>
      <w:r w:rsidR="002B02E7" w:rsidRPr="00726920">
        <w:t xml:space="preserve"> </w:t>
      </w:r>
      <w:r w:rsidRPr="00726920">
        <w:t xml:space="preserve">(SCN </w:t>
      </w:r>
      <w:r w:rsidR="002B02E7">
        <w:t>2008</w:t>
      </w:r>
      <w:r w:rsidRPr="00726920">
        <w:t>). Le dernier paragraphe (Comparabilité) met en évidence les points sensibles nécessitant une grande précaution dans l’analyse des performances d’un ou plusieurs pays. On retrouve pour plusieurs indicateurs les mêmes problèmes de comparabilité et les mêmes précautions à prendre dans l’analyse comparée des performances. Plutôt que de reproduire pour chaque indicateur les mêmes informations, les problèmes récurrents sont décrits ci-dessous.</w:t>
      </w:r>
    </w:p>
    <w:p w14:paraId="4F329F31" w14:textId="77777777" w:rsidR="002B02E7" w:rsidRPr="00726920" w:rsidRDefault="002B02E7" w:rsidP="002B02E7">
      <w:pPr>
        <w:pStyle w:val="Heading3"/>
      </w:pPr>
      <w:r w:rsidRPr="00726920">
        <w:t>SCN 2008 – Principaux changements par rapport au SCN 1993</w:t>
      </w:r>
    </w:p>
    <w:p w14:paraId="38B7445A" w14:textId="6DD1C56B" w:rsidR="00C442A2" w:rsidRPr="00726920" w:rsidRDefault="002B02E7" w:rsidP="00726920">
      <w:pPr>
        <w:pStyle w:val="BodyText"/>
      </w:pPr>
      <w:r>
        <w:t xml:space="preserve">Depuis 2014, la plupart de pays de l’OCDE présentent les données conformes au SCN 2008, </w:t>
      </w:r>
      <w:r w:rsidRPr="00726920">
        <w:t>à l’exception d</w:t>
      </w:r>
      <w:r>
        <w:t xml:space="preserve">u Chili, du Japon et de la Turquie qui utilisent encore le SCN 1993. </w:t>
      </w:r>
      <w:r w:rsidR="00C442A2" w:rsidRPr="00726920">
        <w:t xml:space="preserve">Les données de cette publication sont conformes aux définitions du SCN </w:t>
      </w:r>
      <w:r>
        <w:t xml:space="preserve">2008 </w:t>
      </w:r>
      <w:r w:rsidR="00C442A2" w:rsidRPr="00726920">
        <w:t xml:space="preserve">« Système de comptabilité nationale </w:t>
      </w:r>
      <w:r>
        <w:t>2008</w:t>
      </w:r>
      <w:r w:rsidRPr="00726920">
        <w:t xml:space="preserve"> </w:t>
      </w:r>
      <w:r w:rsidR="00C442A2" w:rsidRPr="00726920">
        <w:t>»</w:t>
      </w:r>
      <w:r w:rsidR="00C442A2">
        <w:t xml:space="preserve"> pour la plupart des pays</w:t>
      </w:r>
      <w:r>
        <w:t>. Les changements le</w:t>
      </w:r>
      <w:r w:rsidR="000748AA">
        <w:t>s</w:t>
      </w:r>
      <w:r>
        <w:t xml:space="preserve"> plus importants </w:t>
      </w:r>
      <w:r w:rsidR="00DA2076" w:rsidRPr="00584E83">
        <w:t xml:space="preserve">par rapport à la version du </w:t>
      </w:r>
      <w:r w:rsidR="00DA2076" w:rsidRPr="00DA2076">
        <w:t>SCN 1993</w:t>
      </w:r>
      <w:r w:rsidR="00DA2076">
        <w:rPr>
          <w:i/>
        </w:rPr>
        <w:t xml:space="preserve"> </w:t>
      </w:r>
      <w:r>
        <w:t xml:space="preserve">sont présentés dans l’annexe. </w:t>
      </w:r>
    </w:p>
    <w:p w14:paraId="05D90733" w14:textId="01B535E1" w:rsidR="002B02E7" w:rsidRDefault="002B02E7" w:rsidP="002B02E7">
      <w:pPr>
        <w:pStyle w:val="Heading3"/>
      </w:pPr>
      <w:r w:rsidRPr="00726920">
        <w:t>Changements affectant</w:t>
      </w:r>
      <w:r w:rsidR="000748AA">
        <w:t xml:space="preserve"> </w:t>
      </w:r>
      <w:r w:rsidR="00143B22">
        <w:t>le PIB</w:t>
      </w:r>
      <w:r w:rsidRPr="00726920">
        <w:t>.,</w:t>
      </w:r>
      <w:r w:rsidR="00143B22" w:rsidRPr="00726920" w:rsidDel="00143B22">
        <w:t xml:space="preserve"> </w:t>
      </w:r>
      <w:r w:rsidR="00143B22">
        <w:t xml:space="preserve">suite </w:t>
      </w:r>
      <w:r w:rsidR="000748AA">
        <w:t>à</w:t>
      </w:r>
      <w:r w:rsidR="00143B22">
        <w:t xml:space="preserve"> l’introduction du SCN 2008</w:t>
      </w:r>
    </w:p>
    <w:p w14:paraId="22DBF203" w14:textId="708E18E3" w:rsidR="002B02E7" w:rsidRDefault="002B02E7" w:rsidP="002B02E7">
      <w:pPr>
        <w:pStyle w:val="BodyText"/>
      </w:pPr>
      <w:r>
        <w:t>L’introduction du SCN 2008 et des</w:t>
      </w:r>
      <w:r w:rsidRPr="002B02E7">
        <w:t xml:space="preserve"> </w:t>
      </w:r>
      <w:r w:rsidRPr="007C0D8B">
        <w:t xml:space="preserve">révisions majeures </w:t>
      </w:r>
      <w:r w:rsidR="00143B22">
        <w:t xml:space="preserve">de référence </w:t>
      </w:r>
      <w:r>
        <w:t xml:space="preserve">ont augmenté le niveau du PIB de l’OCDE total </w:t>
      </w:r>
      <w:r w:rsidR="00143B22">
        <w:t>de</w:t>
      </w:r>
      <w:r w:rsidR="000748AA">
        <w:t xml:space="preserve"> </w:t>
      </w:r>
      <w:r>
        <w:t xml:space="preserve">3.8 pour cent en 2010. C’est la raison pour laquelle tous les indicateurs dont </w:t>
      </w:r>
      <w:r w:rsidR="000748AA">
        <w:t xml:space="preserve">le </w:t>
      </w:r>
      <w:r>
        <w:t xml:space="preserve">dénominateur est le PIB sont touchés. Dans certains cas, le numérateur et le dénominateur </w:t>
      </w:r>
      <w:r w:rsidR="00143B22">
        <w:t>ont été</w:t>
      </w:r>
      <w:r>
        <w:t xml:space="preserve"> révisés et par conséquence, il y aura </w:t>
      </w:r>
      <w:r w:rsidR="00CC5526">
        <w:t xml:space="preserve">seulement </w:t>
      </w:r>
      <w:r>
        <w:t xml:space="preserve">une révision </w:t>
      </w:r>
      <w:r w:rsidR="00143B22">
        <w:t xml:space="preserve">mineure </w:t>
      </w:r>
      <w:r>
        <w:t xml:space="preserve">de l’indicateur </w:t>
      </w:r>
      <w:r w:rsidR="00143B22">
        <w:t xml:space="preserve">par rapport à ce qui a été </w:t>
      </w:r>
      <w:r>
        <w:t xml:space="preserve">publié l’année précédente. </w:t>
      </w:r>
      <w:r w:rsidR="00CC5526">
        <w:t xml:space="preserve">Il est important de noter que, comme le niveau du PIB était révisé pour toutes les années, l’adoption du SCN 2008 n’a pas affecté </w:t>
      </w:r>
      <w:r w:rsidR="00143B22">
        <w:t xml:space="preserve">beaucoup </w:t>
      </w:r>
      <w:r w:rsidR="00CC5526">
        <w:t xml:space="preserve">les taux de croissance. </w:t>
      </w:r>
    </w:p>
    <w:p w14:paraId="3CBB92AB" w14:textId="279007E5" w:rsidR="00CC5526" w:rsidRDefault="00CC5526" w:rsidP="002B02E7">
      <w:pPr>
        <w:pStyle w:val="BodyText"/>
      </w:pPr>
      <w:r w:rsidRPr="007C0D8B">
        <w:t xml:space="preserve">Les pays profitent également de </w:t>
      </w:r>
      <w:r w:rsidR="000748AA">
        <w:t xml:space="preserve">la mise en place de </w:t>
      </w:r>
      <w:r w:rsidRPr="007C0D8B">
        <w:t xml:space="preserve">ces révisions méthodologiques majeures pour améliorer leurs méthodes de compilation </w:t>
      </w:r>
      <w:r>
        <w:t xml:space="preserve">et introduisent des nouvelles techniques d’estimation ou de nouvelles sources. </w:t>
      </w:r>
      <w:r w:rsidR="00143B22">
        <w:t xml:space="preserve">Dans </w:t>
      </w:r>
      <w:r w:rsidRPr="007C0D8B">
        <w:t xml:space="preserve">certains pays l’impact des changements </w:t>
      </w:r>
      <w:r w:rsidR="00143B22">
        <w:t xml:space="preserve">observés </w:t>
      </w:r>
      <w:r w:rsidRPr="007C0D8B">
        <w:t>dus à de meilleures méthodes de compilation</w:t>
      </w:r>
      <w:r w:rsidR="000748AA">
        <w:t xml:space="preserve"> (révisions statistiques)</w:t>
      </w:r>
      <w:r w:rsidRPr="007C0D8B">
        <w:t xml:space="preserve"> peut être supérieur à celui des révisions</w:t>
      </w:r>
      <w:r w:rsidR="00143B22">
        <w:t xml:space="preserve"> méthodologiques</w:t>
      </w:r>
      <w:r w:rsidRPr="007C0D8B">
        <w:t xml:space="preserve"> du SCN</w:t>
      </w:r>
      <w:r>
        <w:t xml:space="preserve"> 20</w:t>
      </w:r>
      <w:r w:rsidRPr="007C0D8B">
        <w:t>08.</w:t>
      </w:r>
      <w:r>
        <w:t xml:space="preserve"> Par exemple, les Pays-Bas ont augmenté leur PIB </w:t>
      </w:r>
      <w:r w:rsidR="00143B22">
        <w:t>de</w:t>
      </w:r>
      <w:r>
        <w:t xml:space="preserve"> 7.6 pour cent en 2010, mais seulement 3 points sont dus  à l’adoption du SCN 2008. </w:t>
      </w:r>
    </w:p>
    <w:p w14:paraId="56B85129" w14:textId="753D7908" w:rsidR="00DA2076" w:rsidRPr="00DA2076" w:rsidRDefault="00DA2076" w:rsidP="002B02E7">
      <w:pPr>
        <w:pStyle w:val="BodyText"/>
      </w:pPr>
      <w:r w:rsidRPr="00DA2076">
        <w:t>Plus d’information sur les changements de SCN 2008 (en anglais): http://www.oecd.org/std/na/new-standards-for-compiling-national-accounts-SNA2008-OECDSB20.pdf</w:t>
      </w:r>
    </w:p>
    <w:p w14:paraId="38B7445E" w14:textId="01EE0254" w:rsidR="00C442A2" w:rsidRPr="002B02E7" w:rsidRDefault="00C442A2" w:rsidP="005F5D2F">
      <w:pPr>
        <w:pStyle w:val="Heading3"/>
      </w:pPr>
      <w:r w:rsidRPr="002B02E7">
        <w:lastRenderedPageBreak/>
        <w:t>Questionnaires et sources des données</w:t>
      </w:r>
    </w:p>
    <w:p w14:paraId="38B7445F" w14:textId="77777777" w:rsidR="00C442A2" w:rsidRPr="00726920" w:rsidRDefault="00C442A2" w:rsidP="00726920">
      <w:pPr>
        <w:pStyle w:val="BodyText"/>
      </w:pPr>
      <w:r w:rsidRPr="00726920">
        <w:t>Sauf indication contraire, les données sont envoyées à l’OCDE par les pays au moyen de questionnaires standardisés.</w:t>
      </w:r>
    </w:p>
    <w:p w14:paraId="38B74460" w14:textId="77777777" w:rsidR="00C442A2" w:rsidRPr="00726920" w:rsidRDefault="00C442A2" w:rsidP="005F5D2F">
      <w:pPr>
        <w:pStyle w:val="Heading3"/>
      </w:pPr>
      <w:r w:rsidRPr="00726920">
        <w:t>Conventions statistiques</w:t>
      </w:r>
    </w:p>
    <w:p w14:paraId="38B74461" w14:textId="77777777" w:rsidR="00C442A2" w:rsidRPr="00726920" w:rsidRDefault="00C442A2" w:rsidP="005F5D2F">
      <w:pPr>
        <w:pStyle w:val="ListBullet"/>
      </w:pPr>
      <w:r w:rsidRPr="00726920">
        <w:t>Tous les taux de croissance sont obtenus à partir des données aux prix constants (ou en valeurs réelles).</w:t>
      </w:r>
    </w:p>
    <w:p w14:paraId="38B74462" w14:textId="77777777" w:rsidR="00C442A2" w:rsidRPr="00726920" w:rsidRDefault="00C442A2" w:rsidP="005F5D2F">
      <w:pPr>
        <w:pStyle w:val="ListBullet"/>
      </w:pPr>
      <w:r w:rsidRPr="00726920">
        <w:t>Les rapports, pourcentages et répartitions sont calculés à partir des données aux prix courants.</w:t>
      </w:r>
    </w:p>
    <w:p w14:paraId="38B74463" w14:textId="77777777" w:rsidR="00C442A2" w:rsidRPr="00726920" w:rsidRDefault="00C442A2" w:rsidP="005F5D2F">
      <w:pPr>
        <w:pStyle w:val="ListBullet"/>
      </w:pPr>
      <w:r w:rsidRPr="00726920">
        <w:t>La contribution de Y à la croissance de X (Y étant une composante de X) est définie comme le taux de croissance de Y (aux prix constants chaînés ou en base fixe</w:t>
      </w:r>
      <w:r>
        <w:t xml:space="preserve"> ou aux prix de l’année précédente</w:t>
      </w:r>
      <w:r w:rsidRPr="00726920">
        <w:t>) pondéré par le poids de Y dans X aux prix courants (au cours de la période précédente t-1).</w:t>
      </w:r>
    </w:p>
    <w:p w14:paraId="38B74464" w14:textId="77777777" w:rsidR="00C442A2" w:rsidRPr="00726920" w:rsidRDefault="00C442A2" w:rsidP="005F5D2F">
      <w:pPr>
        <w:pStyle w:val="Heading3"/>
      </w:pPr>
      <w:r w:rsidRPr="00726920">
        <w:t>Signes et abréviations</w:t>
      </w:r>
    </w:p>
    <w:p w14:paraId="38B74465" w14:textId="77777777" w:rsidR="00C442A2" w:rsidRDefault="00C442A2" w:rsidP="00726920">
      <w:pPr>
        <w:pStyle w:val="BodyText"/>
      </w:pPr>
      <w:r w:rsidRPr="00726920">
        <w:t>..  Valeurs manquantes, non définies ou non fournies.</w:t>
      </w:r>
    </w:p>
    <w:p w14:paraId="38B74466" w14:textId="77777777" w:rsidR="00C442A2" w:rsidRPr="008F665F" w:rsidRDefault="00C442A2" w:rsidP="00726920">
      <w:pPr>
        <w:pStyle w:val="BodyText"/>
      </w:pPr>
      <w:r w:rsidRPr="008F665F">
        <w:t>e  Estimations du Secrétariat de l’OCDE.</w:t>
      </w:r>
    </w:p>
    <w:p w14:paraId="38B74467" w14:textId="77777777" w:rsidR="00C442A2" w:rsidRPr="00726920" w:rsidRDefault="00C442A2" w:rsidP="00726920">
      <w:pPr>
        <w:pStyle w:val="BodyText"/>
      </w:pPr>
      <w:r>
        <w:t>|</w:t>
      </w:r>
      <w:r w:rsidRPr="00726920">
        <w:t xml:space="preserve">  Rupture.</w:t>
      </w:r>
    </w:p>
    <w:p w14:paraId="38B74468" w14:textId="77777777" w:rsidR="00C442A2" w:rsidRPr="00726920" w:rsidRDefault="00C442A2" w:rsidP="005F5D2F">
      <w:pPr>
        <w:pStyle w:val="Heading2"/>
      </w:pPr>
      <w:r w:rsidRPr="00726920">
        <w:t>Pays et zones</w:t>
      </w:r>
    </w:p>
    <w:p w14:paraId="38B74469" w14:textId="5B8B9882" w:rsidR="00C442A2" w:rsidRPr="00726920" w:rsidRDefault="00C442A2" w:rsidP="00726920">
      <w:pPr>
        <w:pStyle w:val="BodyText"/>
      </w:pPr>
      <w:r w:rsidRPr="00726920">
        <w:t>Dans la plupart des cas, les données sont disponibles pour l’ensemble des pays de l’OCDE. Lorsqu’une donnée est manquante ou lorsqu’une donnée n’a pas été envoyée à l’OCDE, des estimations ont été produites</w:t>
      </w:r>
      <w:r w:rsidR="00143B22">
        <w:t xml:space="preserve"> autant que possible</w:t>
      </w:r>
      <w:r w:rsidRPr="00726920">
        <w:t>.</w:t>
      </w:r>
    </w:p>
    <w:p w14:paraId="38B7446A" w14:textId="77777777" w:rsidR="00C442A2" w:rsidRPr="00726920" w:rsidRDefault="00C442A2" w:rsidP="005F5D2F">
      <w:pPr>
        <w:pStyle w:val="Heading3"/>
      </w:pPr>
      <w:r w:rsidRPr="00726920">
        <w:t>Total OCDE</w:t>
      </w:r>
    </w:p>
    <w:p w14:paraId="38B7446B" w14:textId="77777777" w:rsidR="00C442A2" w:rsidRPr="00726920" w:rsidRDefault="00C442A2" w:rsidP="00726920">
      <w:pPr>
        <w:pStyle w:val="BodyText"/>
      </w:pPr>
      <w:r w:rsidRPr="00726920">
        <w:t>Sauf indication contraire, la zone « total OCDE » renvoie à l’ensemble des pays de l’OCDE.</w:t>
      </w:r>
    </w:p>
    <w:p w14:paraId="38B7446C" w14:textId="77777777" w:rsidR="00C442A2" w:rsidRPr="00726920" w:rsidRDefault="00C442A2" w:rsidP="005F5D2F">
      <w:pPr>
        <w:pStyle w:val="Heading3"/>
      </w:pPr>
      <w:r w:rsidRPr="00726920">
        <w:t>La zone euro</w:t>
      </w:r>
    </w:p>
    <w:p w14:paraId="38B7446D" w14:textId="77777777" w:rsidR="00C442A2" w:rsidRPr="00726920" w:rsidRDefault="00C442A2" w:rsidP="00726920">
      <w:pPr>
        <w:pStyle w:val="BodyText"/>
      </w:pPr>
      <w:r w:rsidRPr="00726920">
        <w:t>Les données pour la « zone euro » proviennent des bases de données d’Eurostat.</w:t>
      </w:r>
    </w:p>
    <w:p w14:paraId="38B7446E" w14:textId="77777777" w:rsidR="00C442A2" w:rsidRPr="00726920" w:rsidRDefault="00C442A2" w:rsidP="005F5D2F">
      <w:pPr>
        <w:pStyle w:val="Heading3"/>
      </w:pPr>
      <w:r w:rsidRPr="00726920">
        <w:t>Données en euros</w:t>
      </w:r>
    </w:p>
    <w:p w14:paraId="38B7446F" w14:textId="77777777" w:rsidR="00C442A2" w:rsidRPr="00726920" w:rsidRDefault="00C442A2" w:rsidP="00726920">
      <w:pPr>
        <w:pStyle w:val="BodyText"/>
      </w:pPr>
      <w:r w:rsidRPr="00726920">
        <w:t>Les données concernant les pays de l’Union économique et monétaire (UEM) sont exprimées en euros.</w:t>
      </w:r>
    </w:p>
    <w:p w14:paraId="38B74470" w14:textId="77777777" w:rsidR="00C442A2" w:rsidRPr="00726920" w:rsidRDefault="00C442A2" w:rsidP="00726920">
      <w:pPr>
        <w:pStyle w:val="BodyText"/>
      </w:pPr>
      <w:r w:rsidRPr="00726920">
        <w:t xml:space="preserve">Les données relatives aux années antérieures à l’entrée dans l’UEM ont été converties à partir de l’ancienne monnaie nationale en appliquant le taux de conversion irrévocable approprié. Cette présentation rend plus aisée l’analyse de données au sein d’un pays sur une période longue et garantit que les évolutions historiques (c’est-à-dire les taux de croissance) restent inchangés. Cependant les euros antérieurs à l’UEM correspondent à un concept purement théorique et </w:t>
      </w:r>
      <w:r w:rsidRPr="00726920">
        <w:lastRenderedPageBreak/>
        <w:t>normalement ils ne devraient pas être utilisés pour calculer des zones ou pour comparer des pays entre eux.</w:t>
      </w:r>
    </w:p>
    <w:p w14:paraId="38B74471" w14:textId="77777777" w:rsidR="00C442A2" w:rsidRPr="00726920" w:rsidRDefault="00C442A2" w:rsidP="005F5D2F">
      <w:pPr>
        <w:pStyle w:val="Heading3"/>
      </w:pPr>
      <w:r w:rsidRPr="00726920">
        <w:t>Pays en voie d’accession</w:t>
      </w:r>
    </w:p>
    <w:p w14:paraId="38B74472" w14:textId="7AB92B83" w:rsidR="00C442A2" w:rsidRPr="000748AA" w:rsidRDefault="00F83535" w:rsidP="00726920">
      <w:pPr>
        <w:pStyle w:val="BodyText"/>
      </w:pPr>
      <w:r w:rsidRPr="000748AA">
        <w:t>En 2007, le Conseil de l'OCDE avait décidé d'ouvrir des discussions en vue de l'adhésion à l'Organisation avec le Chili, l'Estonie, la Fédération de Russie, Israël et la Slovénie. En 2010, le Chili, l'Estonie, Israël et la Slovénie sont devenus Membres. À la suite de sa réunion en mars 2014, le Conseil de l'OCDE a reporté les activités liées au processus d'adhésion de la Fédération de Russie à l'OCDE. En mai 2013, le Conseil de l'OCDE a décidé de lancer des discussions avec la Colombie et la Lettonie en vue de leur adhésion. En avril 2015, il a invité le Costa Rica et la Lituanie à ouvrir des discussions formelles d'adhésion.</w:t>
      </w:r>
      <w:r w:rsidR="000748AA">
        <w:t xml:space="preserve"> </w:t>
      </w:r>
      <w:r w:rsidR="00C442A2" w:rsidRPr="000748AA">
        <w:t>L’OCDE travaille également avec de grandes puissances mondiales, comme le Brésil, la Chine, l’Inde, l’Indonésie et l’Afrique du Sud. Les données pour ces pays  font  partie de cette publication quand elles sont disponibles.</w:t>
      </w:r>
    </w:p>
    <w:p w14:paraId="38B74473" w14:textId="77777777" w:rsidR="00C442A2" w:rsidRPr="00726920" w:rsidRDefault="00C442A2" w:rsidP="005F5D2F">
      <w:pPr>
        <w:pStyle w:val="Heading2"/>
      </w:pPr>
      <w:r w:rsidRPr="00726920">
        <w:t>Commentaires généraux sur les concepts et la comparabilité</w:t>
      </w:r>
    </w:p>
    <w:p w14:paraId="38B74474" w14:textId="77777777" w:rsidR="00C442A2" w:rsidRPr="00726920" w:rsidRDefault="00C442A2" w:rsidP="00726920">
      <w:pPr>
        <w:pStyle w:val="BodyText"/>
      </w:pPr>
      <w:r w:rsidRPr="00726920">
        <w:t>Les commentaires ci-dessous concernent plusieurs indicateurs et sont fournis ici dans le</w:t>
      </w:r>
      <w:r>
        <w:t xml:space="preserve"> </w:t>
      </w:r>
      <w:r w:rsidRPr="00726920">
        <w:t>« Guide du lecteur » afin de ne pas les répéter dans les différents chapitres de la publication.</w:t>
      </w:r>
    </w:p>
    <w:p w14:paraId="38B74475" w14:textId="1E0435E0" w:rsidR="00C442A2" w:rsidRPr="00726920" w:rsidRDefault="00C442A2" w:rsidP="005F5D2F">
      <w:pPr>
        <w:pStyle w:val="Heading3"/>
      </w:pPr>
      <w:r w:rsidRPr="00726920">
        <w:t>Parités de pouvoir d’achat</w:t>
      </w:r>
      <w:r w:rsidR="00F83535">
        <w:t xml:space="preserve"> (PPA)</w:t>
      </w:r>
      <w:r w:rsidRPr="00726920">
        <w:t xml:space="preserve"> du PIB et de la consommation individuelle effective</w:t>
      </w:r>
    </w:p>
    <w:p w14:paraId="38B74476" w14:textId="77777777" w:rsidR="00C442A2" w:rsidRPr="00726920" w:rsidRDefault="00C442A2" w:rsidP="00726920">
      <w:pPr>
        <w:pStyle w:val="BodyText"/>
      </w:pPr>
      <w:r w:rsidRPr="00726920">
        <w:t>Les PPA sont les taux de conversion monétaire qui permettent d’exprimer dans une unité commune les pouvoirs d’achat des différentes monnaies en éliminant les différences de niveaux de prix existant entre les pays. Les dépenses imputées au PIB, pour les différents pays, converties en utilisant les PPA sont en effet exprimées en fonction d’une même structure de prix internationaux si bien que les écarts entre pays reflètent uniquement les différences de volume de biens et services achetés.</w:t>
      </w:r>
      <w:r>
        <w:t xml:space="preserve"> Les comparaisons de l’activité </w:t>
      </w:r>
      <w:r w:rsidRPr="00726920">
        <w:t>économique effectuées à partir des taux de change devraient le plus souvent être évitées dans la mesure où de telles comparaisons intègrent les différences de prix. De plus, les séries de taux de change ont tendance à être plus volatiles que les séries de PPA, ce qui induit des difficultés lorsqu’on effectue des comparaisons entre pays ou sur une période longue.</w:t>
      </w:r>
    </w:p>
    <w:p w14:paraId="38B74477" w14:textId="77777777" w:rsidR="00C442A2" w:rsidRPr="00726920" w:rsidRDefault="00C442A2" w:rsidP="00726920">
      <w:pPr>
        <w:pStyle w:val="BodyText"/>
      </w:pPr>
      <w:r w:rsidRPr="00726920">
        <w:t>Toutefois, il faut faire attention lorsqu’on utilise les PPA pour des comparaisons internationales. Lorsque des pays sont très proches, il n’est pas pertinent d’établir un classement précis. Comme souvent avec les statistiques, il existe un certain degré d’incertitude lié aux sources et aux procédures de calcul sur lesquels reposent les PPA. Une petite différence observée entre deux pays pour un indicateur converti au moyen des PPA, par exemple le PIB ou le revenu national ajusté par les PPA, ne sera pas significative d’un point de vue statistique ou économique dans la plupart des cas.</w:t>
      </w:r>
    </w:p>
    <w:p w14:paraId="38B74478" w14:textId="2CC7382D" w:rsidR="00C442A2" w:rsidRPr="00726920" w:rsidRDefault="00C442A2" w:rsidP="00726920">
      <w:pPr>
        <w:pStyle w:val="BodyText"/>
      </w:pPr>
      <w:r w:rsidRPr="00726920">
        <w:t xml:space="preserve">Les PPA du PIB sont utilisées dans tous les tableaux et graphiques utilisant les PPA comme taux de conversion excepté dans les tableaux et graphique suivants pour lesquelles les PPA de la consommation effective individuelle sont utilisées : tableau 6.1 (Revenu disponible brut ajusté des ménages par tête),  graphique 10.2 pour la consommation individuelle effective des ménages, tableau A.5 (Consommation individuelle effective, PPA courantes), tableau A.6 (Consommation individuelle effective, PPA constantes </w:t>
      </w:r>
      <w:r w:rsidR="00F83535" w:rsidRPr="00726920">
        <w:t>20</w:t>
      </w:r>
      <w:r w:rsidR="00F83535">
        <w:t>10</w:t>
      </w:r>
      <w:r w:rsidRPr="00726920">
        <w:t>).</w:t>
      </w:r>
    </w:p>
    <w:p w14:paraId="38B7447A" w14:textId="41CD22CE" w:rsidR="00C442A2" w:rsidRPr="00726920" w:rsidRDefault="00C442A2" w:rsidP="00726920">
      <w:pPr>
        <w:pStyle w:val="BodyText"/>
      </w:pPr>
      <w:r w:rsidRPr="00726920">
        <w:t>1999, 2002, 2005 2008</w:t>
      </w:r>
      <w:r>
        <w:t xml:space="preserve"> et 2011</w:t>
      </w:r>
      <w:r w:rsidRPr="00726920">
        <w:t xml:space="preserve"> : Les PPA pour tous les pays, à l’exception du Chili, sont les résultats des calculs triennaux effectués par Eurostat et l’OCDE.</w:t>
      </w:r>
      <w:r w:rsidR="00F83535">
        <w:t xml:space="preserve"> Les résultats de référence 2011 ont introduits le Chili pour la première fois.</w:t>
      </w:r>
    </w:p>
    <w:p w14:paraId="38B7447D" w14:textId="7050D6EB" w:rsidR="00C442A2" w:rsidRDefault="00C442A2" w:rsidP="00726920">
      <w:pPr>
        <w:pStyle w:val="BodyText"/>
      </w:pPr>
      <w:r w:rsidRPr="00726920">
        <w:t xml:space="preserve">Vous trouverez plus de renseignements sur le site internet des PPA : </w:t>
      </w:r>
      <w:hyperlink r:id="rId14" w:history="1">
        <w:r w:rsidR="00F83535" w:rsidRPr="00BC66D4">
          <w:rPr>
            <w:rStyle w:val="Hyperlink"/>
          </w:rPr>
          <w:t>http://www.oecd.org/fr/std/prix-ppa/</w:t>
        </w:r>
      </w:hyperlink>
    </w:p>
    <w:p w14:paraId="67074EF2" w14:textId="77777777" w:rsidR="00BC66D4" w:rsidRPr="00BC66D4" w:rsidRDefault="00BC66D4" w:rsidP="00726920">
      <w:pPr>
        <w:pStyle w:val="BodyText"/>
      </w:pPr>
    </w:p>
    <w:p w14:paraId="38B7447E" w14:textId="77777777" w:rsidR="00C442A2" w:rsidRPr="00726920" w:rsidRDefault="00C442A2" w:rsidP="005F5D2F">
      <w:pPr>
        <w:pStyle w:val="Heading3"/>
      </w:pPr>
      <w:r w:rsidRPr="00726920">
        <w:t>Taux de change</w:t>
      </w:r>
    </w:p>
    <w:p w14:paraId="38B7447F" w14:textId="57E6486C" w:rsidR="00C442A2" w:rsidRPr="00726920" w:rsidRDefault="00C442A2" w:rsidP="00726920">
      <w:pPr>
        <w:pStyle w:val="BodyText"/>
      </w:pPr>
      <w:r w:rsidRPr="00726920">
        <w:t>Les taux de change utilisés dans cette publication ont été calculés par le Fond monétaire international</w:t>
      </w:r>
      <w:r w:rsidR="009271E4">
        <w:t xml:space="preserve"> (FMI)</w:t>
      </w:r>
      <w:r w:rsidRPr="00726920">
        <w:t xml:space="preserve"> et sont publiés dans International Financial Statistics</w:t>
      </w:r>
      <w:r w:rsidR="009271E4">
        <w:t xml:space="preserve"> (IFS)</w:t>
      </w:r>
      <w:r w:rsidRPr="00726920">
        <w:t>. Ce sont des taux de marché correspondant à des moyennes annuelles.</w:t>
      </w:r>
    </w:p>
    <w:p w14:paraId="38B74480" w14:textId="77777777" w:rsidR="00C442A2" w:rsidRPr="00726920" w:rsidRDefault="00C442A2" w:rsidP="005F5D2F">
      <w:pPr>
        <w:pStyle w:val="Heading3"/>
      </w:pPr>
      <w:r w:rsidRPr="00726920">
        <w:t>Indicateurs par tête</w:t>
      </w:r>
    </w:p>
    <w:p w14:paraId="38B74481" w14:textId="77777777" w:rsidR="00C442A2" w:rsidRPr="00726920" w:rsidRDefault="00C442A2" w:rsidP="00726920">
      <w:pPr>
        <w:pStyle w:val="BodyText"/>
      </w:pPr>
      <w:r w:rsidRPr="00726920">
        <w:t>Dans cette publication, de nombreux indicateurs sont présentés « par tête ». Il est important de noter que les estimations de la population qui sont utilisées pour calculer ces indicateurs sont conformes à la notion de résidence telle qu’elle est définie dans le SCN : concrètement la population comprend les personnes qui résident dans un pays pendant un an ou plus, quel</w:t>
      </w:r>
      <w:r>
        <w:t xml:space="preserve">le </w:t>
      </w:r>
      <w:r w:rsidRPr="00726920">
        <w:t xml:space="preserve">que soit leur nationalité. </w:t>
      </w:r>
      <w:r>
        <w:t>L</w:t>
      </w:r>
      <w:r w:rsidRPr="00726920">
        <w:t xml:space="preserve">es personnels des missions diplomatiques, les militaires et leur famille se trouvant en dehors du territoire national, les étudiants qui sont partis à l’étranger pour leurs études et les patients qui sont partis à l’étranger pour être soignés, </w:t>
      </w:r>
      <w:r>
        <w:t xml:space="preserve">sont considérés comme résidents de leur pays de résidence </w:t>
      </w:r>
      <w:r w:rsidRPr="00726920">
        <w:t>même si ceux-ci quittent le pays de résidence pour une période supérieure à un an. La règl</w:t>
      </w:r>
      <w:r>
        <w:t xml:space="preserve">e des « 1 an » signifie que les </w:t>
      </w:r>
      <w:r w:rsidRPr="00726920">
        <w:t>résidents réguliers qui partent vivre à l’étranger pour moins d’un an sont compris dans la population de leur pays d’origine et que des visiteurs étrangers (par exemple, les vacanciers) qui viennent dans un pays pour moins d’un an sont exclus.</w:t>
      </w:r>
    </w:p>
    <w:p w14:paraId="38B74482" w14:textId="77777777" w:rsidR="00C442A2" w:rsidRPr="00726920" w:rsidRDefault="00C442A2" w:rsidP="00726920">
      <w:pPr>
        <w:pStyle w:val="BodyText"/>
      </w:pPr>
      <w:r w:rsidRPr="00726920">
        <w:t>Une remarque importante doit être faite dans ce contexte. Des individus peuvent faire partie des salariés d’un pays (contribuant ainsi au PIB de ce pays par l’accroissement de la production) et faire partie en même temps des résidents d’un autre pays (leur salaires apparaissant alors dans le revenu national du pays de résidence).</w:t>
      </w:r>
    </w:p>
    <w:p w14:paraId="38B74483" w14:textId="77777777" w:rsidR="00C442A2" w:rsidRPr="00726920" w:rsidRDefault="00C442A2" w:rsidP="005F5D2F">
      <w:pPr>
        <w:pStyle w:val="Heading3"/>
      </w:pPr>
      <w:r w:rsidRPr="00726920">
        <w:t>Années fiscales, années calendaires</w:t>
      </w:r>
    </w:p>
    <w:p w14:paraId="38B74484" w14:textId="77777777" w:rsidR="00C442A2" w:rsidRPr="00726920" w:rsidRDefault="00C442A2" w:rsidP="00726920">
      <w:pPr>
        <w:pStyle w:val="BodyText"/>
      </w:pPr>
      <w:r w:rsidRPr="00726920">
        <w:t>Sauf indication contraire ci-dessous ou dans les textes accompagnant les indicateurs, toutes les données de cette publication sont fournies sur une base calendaire.</w:t>
      </w:r>
    </w:p>
    <w:p w14:paraId="38B74485" w14:textId="77777777" w:rsidR="00C442A2" w:rsidRDefault="00C442A2" w:rsidP="004B60DF">
      <w:pPr>
        <w:pStyle w:val="BodyText"/>
      </w:pPr>
      <w:r>
        <w:t xml:space="preserve">Pour les indicateurs non financiers, les données de l’Australie et de la Nouvelle Zélande se réfèrent aux années fiscales- 1 er juillet de l’année indiquée au 30 Juin pour l’Australie et 1 er avril au 31 mars pour la Nouvelle Zélande. Les données financières se réfèrent pour le Japon aux années fiscales, 1 er avril de l’année indiquée au 31 mars. </w:t>
      </w:r>
    </w:p>
    <w:p w14:paraId="38B74486" w14:textId="77777777" w:rsidR="00C442A2" w:rsidRPr="002A42D9" w:rsidRDefault="00C442A2" w:rsidP="002A42D9">
      <w:pPr>
        <w:pStyle w:val="Heading3"/>
      </w:pPr>
      <w:r w:rsidRPr="002A42D9">
        <w:t>Estimations en volume (prix constants)</w:t>
      </w:r>
    </w:p>
    <w:p w14:paraId="38B74487" w14:textId="77777777" w:rsidR="00C442A2" w:rsidRPr="00726920" w:rsidRDefault="00C442A2" w:rsidP="00726920">
      <w:pPr>
        <w:pStyle w:val="BodyText"/>
      </w:pPr>
      <w:r w:rsidRPr="00726920">
        <w:t>La plupart des pays de l’OCDE sont désormais capables de produire leurs comptes nationaux en utilisant des séries en volume chaînées. Seul le Mexique produit encore des données en volume à partir d’une année de base fixe, souvent mise à jour moins fréquemment que les données en volume chaînées, et reliées aux estimations de l’année de base précédente.</w:t>
      </w:r>
    </w:p>
    <w:p w14:paraId="38B74488" w14:textId="77777777" w:rsidR="00C442A2" w:rsidRPr="00726920" w:rsidRDefault="00C442A2" w:rsidP="00726920">
      <w:pPr>
        <w:pStyle w:val="BodyText"/>
      </w:pPr>
      <w:r w:rsidRPr="00726920">
        <w:t>Le SCN recommande la fabrication d’estimations à partir de séries en volume en chaîne. Cette méthode permet d’obtenir de meilleures estimations de la croissance dans la mesure où les poids utilisés pour évaluer la contribution à la croissance des biens et services sont plus pertinents. Il y a cependant un inconvénient à cette méthode de chaînage : les agrégats en volume ne sont pas égaux à la somme de leurs composantes.</w:t>
      </w:r>
    </w:p>
    <w:p w14:paraId="38B74489" w14:textId="77777777" w:rsidR="00C442A2" w:rsidRPr="00726920" w:rsidRDefault="00C442A2" w:rsidP="005F5D2F">
      <w:pPr>
        <w:pStyle w:val="Heading3"/>
      </w:pPr>
      <w:r w:rsidRPr="00726920">
        <w:t>Valeurs brutes et nettes</w:t>
      </w:r>
    </w:p>
    <w:p w14:paraId="38B7448A" w14:textId="77777777" w:rsidR="00C442A2" w:rsidRPr="00726920" w:rsidRDefault="00C442A2" w:rsidP="00726920">
      <w:pPr>
        <w:pStyle w:val="BodyText"/>
      </w:pPr>
      <w:r w:rsidRPr="00726920">
        <w:t>Le terme « brut » désigne une valeur avant que la consommation de capital fixe ne soit déduite. Toutefois, le terme « net » ne renvoie pas forcément à la notion de « net d’amortissement ». Par exemple les « transferts en capital nets reçus du reste du monde » n’utilisent pas le terme « net » dans le sens « net d’amortissement ».</w:t>
      </w:r>
      <w:r>
        <w:t xml:space="preserve"> La même chose peut s’appliquer pour les indicateurs comme « dette brute » et « richesse nette ».</w:t>
      </w:r>
    </w:p>
    <w:p w14:paraId="38B7448B" w14:textId="6851F832" w:rsidR="00C442A2" w:rsidRPr="00726920" w:rsidRDefault="00C442A2" w:rsidP="005F5D2F">
      <w:pPr>
        <w:pStyle w:val="Heading3"/>
      </w:pPr>
      <w:r w:rsidRPr="00726920">
        <w:t>Classification Industrielle (CITI Rev 4, Classification internationale type, par industrie, de toutes les branches d'activité économique)</w:t>
      </w:r>
    </w:p>
    <w:p w14:paraId="38B7448C" w14:textId="2BAB758D" w:rsidR="00C442A2" w:rsidRPr="00726920" w:rsidRDefault="00C442A2" w:rsidP="00726920">
      <w:pPr>
        <w:pStyle w:val="BodyText"/>
      </w:pPr>
      <w:r w:rsidRPr="00726920">
        <w:t>Actuellement, la classification de référence est la CITI Rev 4.</w:t>
      </w:r>
    </w:p>
    <w:p w14:paraId="38B744A4" w14:textId="49ED3BF1" w:rsidR="00C442A2" w:rsidRPr="00726920" w:rsidRDefault="00C442A2" w:rsidP="000748AA">
      <w:pPr>
        <w:pStyle w:val="BodyText"/>
        <w:ind w:firstLine="0"/>
      </w:pPr>
      <w:r w:rsidRPr="00726920">
        <w:t>La classification CITI Rev 4 est divisée en 10 branches d'activités</w:t>
      </w:r>
      <w:r w:rsidR="000748AA">
        <w:rPr>
          <w:sz w:val="16"/>
          <w:szCs w:val="16"/>
        </w:rPr>
        <w:t>...</w:t>
      </w:r>
      <w:r w:rsidR="009271E4">
        <w:t xml:space="preserve">La classification </w:t>
      </w:r>
      <w:r w:rsidRPr="00726920">
        <w:t>CITI</w:t>
      </w:r>
      <w:r w:rsidR="009271E4">
        <w:t xml:space="preserve"> Rev 4 est</w:t>
      </w:r>
      <w:r w:rsidRPr="00726920">
        <w:t xml:space="preserve"> disponible sur le site web de l'UNSD (en anglais uniquement):</w:t>
      </w:r>
    </w:p>
    <w:p w14:paraId="38B744A6" w14:textId="77777777" w:rsidR="00C442A2" w:rsidRPr="00726920" w:rsidRDefault="00C442A2" w:rsidP="00726920">
      <w:pPr>
        <w:pStyle w:val="BodyText"/>
      </w:pPr>
      <w:r w:rsidRPr="00726920">
        <w:t xml:space="preserve">●  </w:t>
      </w:r>
      <w:hyperlink r:id="rId15" w:history="1">
        <w:r w:rsidRPr="004F189F">
          <w:rPr>
            <w:rStyle w:val="Hyperlink"/>
          </w:rPr>
          <w:t>http://unstats.un.org/unsd/cr/registry/regcst.asp?Cl=27</w:t>
        </w:r>
      </w:hyperlink>
      <w:r w:rsidRPr="00726920">
        <w:t>.</w:t>
      </w:r>
      <w:r>
        <w:t xml:space="preserve"> </w:t>
      </w:r>
    </w:p>
    <w:p w14:paraId="38B744A7" w14:textId="77777777" w:rsidR="00C442A2" w:rsidRPr="00726920" w:rsidRDefault="00C442A2" w:rsidP="005F5D2F">
      <w:pPr>
        <w:pStyle w:val="Heading3"/>
      </w:pPr>
      <w:r w:rsidRPr="00726920">
        <w:t>Ménages et institutions sans but lucratif au service des ménages (ISBLSM)</w:t>
      </w:r>
    </w:p>
    <w:p w14:paraId="38B744A8" w14:textId="77777777" w:rsidR="00C442A2" w:rsidRDefault="00C442A2" w:rsidP="00726920">
      <w:pPr>
        <w:pStyle w:val="BodyText"/>
      </w:pPr>
      <w:r w:rsidRPr="00726920">
        <w:t>Plusieurs pays ne sont pas capables de séparer les ménages et les institutions sans but lucratif au service des ménages (ISBLSM) dans leurs comptes par secteur. Par conséquent, afin de garantir un niveau de comparabilité maximal, le compte des ménages comprend les ISBLSM dans cette publication.</w:t>
      </w:r>
    </w:p>
    <w:p w14:paraId="38B744A9" w14:textId="77777777" w:rsidR="00C442A2" w:rsidRDefault="00C442A2" w:rsidP="00165C34">
      <w:pPr>
        <w:pStyle w:val="Heading3"/>
      </w:pPr>
      <w:r>
        <w:t>Stocks et flux</w:t>
      </w:r>
    </w:p>
    <w:p w14:paraId="38B744AA" w14:textId="77777777" w:rsidR="00C442A2" w:rsidRDefault="00C442A2" w:rsidP="00165C34">
      <w:pPr>
        <w:pStyle w:val="BodyText"/>
      </w:pPr>
      <w:r>
        <w:t>La plupart des données présentées dans cette publication font référence aux flux, lesquels sont les comptes de production, génération et distribution des revenus et l’acquisition des actifs et des engagements. Les données de stocks se réfèrent aux comptes de patrimoine, lesquels reflètent la valeur des actifs et passifs ainsi que la richesse nette du secteur à la fin de période comptable.</w:t>
      </w:r>
    </w:p>
    <w:p w14:paraId="38B744AB" w14:textId="77777777" w:rsidR="00C442A2" w:rsidRDefault="00C442A2" w:rsidP="00165C34">
      <w:pPr>
        <w:pStyle w:val="BodyText"/>
      </w:pPr>
      <w:r>
        <w:t>Les tableaux mentionnés ci-dessous se réfèrent à des données de stocks :</w:t>
      </w:r>
    </w:p>
    <w:p w14:paraId="38B744AC" w14:textId="211FF0C9" w:rsidR="00C442A2" w:rsidRDefault="00C442A2" w:rsidP="00A65915">
      <w:pPr>
        <w:pStyle w:val="ListBullet"/>
      </w:pPr>
      <w:r>
        <w:t xml:space="preserve">18. </w:t>
      </w:r>
      <w:r w:rsidR="009271E4">
        <w:t>A</w:t>
      </w:r>
      <w:r>
        <w:t xml:space="preserve">ctifs non financiers des ménages </w:t>
      </w:r>
    </w:p>
    <w:p w14:paraId="38B744AD" w14:textId="77777777" w:rsidR="00C442A2" w:rsidRDefault="00C442A2" w:rsidP="00A65915">
      <w:pPr>
        <w:pStyle w:val="ListBullet"/>
      </w:pPr>
      <w:r>
        <w:t>19. Composition du portefeuille d’actifs des ménages</w:t>
      </w:r>
    </w:p>
    <w:p w14:paraId="38B744AE" w14:textId="77777777" w:rsidR="00C442A2" w:rsidRDefault="00C442A2" w:rsidP="00A65915">
      <w:pPr>
        <w:pStyle w:val="ListBullet"/>
      </w:pPr>
      <w:r>
        <w:t>20. Endettement des ménages</w:t>
      </w:r>
    </w:p>
    <w:p w14:paraId="38B744AF" w14:textId="6165160D" w:rsidR="00C442A2" w:rsidRDefault="00C442A2" w:rsidP="00A65915">
      <w:pPr>
        <w:pStyle w:val="ListBullet"/>
      </w:pPr>
      <w:r>
        <w:t xml:space="preserve">21. Richesse nette financière des ménages </w:t>
      </w:r>
    </w:p>
    <w:p w14:paraId="38B744B0" w14:textId="77777777" w:rsidR="00C442A2" w:rsidRDefault="00C442A2" w:rsidP="00A65915">
      <w:pPr>
        <w:pStyle w:val="ListBullet"/>
      </w:pPr>
      <w:r>
        <w:t>22. Richesse nette totale des ménages</w:t>
      </w:r>
    </w:p>
    <w:p w14:paraId="38B744B1" w14:textId="4DAC070D" w:rsidR="00C442A2" w:rsidRDefault="00C442A2" w:rsidP="00A65915">
      <w:pPr>
        <w:pStyle w:val="ListBullet"/>
      </w:pPr>
      <w:r>
        <w:t xml:space="preserve">29. Dette </w:t>
      </w:r>
      <w:r w:rsidR="009271E4">
        <w:t xml:space="preserve">ajustée </w:t>
      </w:r>
      <w:r>
        <w:t>brute des administrations publiques</w:t>
      </w:r>
    </w:p>
    <w:p w14:paraId="38B744B2" w14:textId="77777777" w:rsidR="00C442A2" w:rsidRDefault="00C442A2" w:rsidP="00A65915">
      <w:pPr>
        <w:pStyle w:val="ListBullet"/>
      </w:pPr>
      <w:r>
        <w:t>30. Richesse nette financière des administrations publiques</w:t>
      </w:r>
    </w:p>
    <w:p w14:paraId="38B744B3" w14:textId="77777777" w:rsidR="00C442A2" w:rsidRDefault="00C442A2" w:rsidP="00A65915">
      <w:pPr>
        <w:pStyle w:val="ListBullet"/>
      </w:pPr>
      <w:r>
        <w:t>31. Endettement des sociétés non financières</w:t>
      </w:r>
    </w:p>
    <w:p w14:paraId="38B744B4" w14:textId="77777777" w:rsidR="00C442A2" w:rsidRPr="00F95852" w:rsidRDefault="00C442A2" w:rsidP="00A65915">
      <w:pPr>
        <w:pStyle w:val="ListBullet"/>
      </w:pPr>
      <w:r w:rsidRPr="00F95852">
        <w:t>32.</w:t>
      </w:r>
      <w:r w:rsidRPr="00F95852">
        <w:rPr>
          <w:bCs/>
        </w:rPr>
        <w:t xml:space="preserve"> Endettement des sociétés financières</w:t>
      </w:r>
    </w:p>
    <w:p w14:paraId="38B744B5" w14:textId="77777777" w:rsidR="00C442A2" w:rsidRPr="00F95852" w:rsidRDefault="00C442A2" w:rsidP="00A65915">
      <w:pPr>
        <w:pStyle w:val="ListBullet"/>
      </w:pPr>
      <w:r w:rsidRPr="00F95852">
        <w:rPr>
          <w:bCs/>
        </w:rPr>
        <w:t>33. Levier financier du secteur bancaire</w:t>
      </w:r>
    </w:p>
    <w:p w14:paraId="38B744B6" w14:textId="77777777" w:rsidR="00C442A2" w:rsidRPr="00A65915" w:rsidRDefault="00C442A2" w:rsidP="00A65915">
      <w:pPr>
        <w:pStyle w:val="ListBullet"/>
      </w:pPr>
      <w:r>
        <w:t>35. Stock de capital net</w:t>
      </w:r>
    </w:p>
    <w:p w14:paraId="38B744B7" w14:textId="77777777" w:rsidR="00C442A2" w:rsidRPr="00ED1077" w:rsidRDefault="00C442A2" w:rsidP="00ED1077">
      <w:pPr>
        <w:pStyle w:val="BoxHeading"/>
      </w:pPr>
      <w:r w:rsidRPr="00EA52AD">
        <w:t>Égalités importantes du SC</w:t>
      </w:r>
      <w:r w:rsidRPr="00ED1077">
        <w:t>N</w:t>
      </w:r>
    </w:p>
    <w:p w14:paraId="38B744B8" w14:textId="77777777" w:rsidR="00C442A2" w:rsidRPr="00C830CB" w:rsidRDefault="00C442A2" w:rsidP="00ED1077">
      <w:pPr>
        <w:pStyle w:val="TextBox"/>
        <w:rPr>
          <w:b/>
        </w:rPr>
      </w:pPr>
      <w:r w:rsidRPr="00C830CB">
        <w:rPr>
          <w:b/>
        </w:rPr>
        <w:t>Produit intérieur brut (PIB) aux prix du marché</w:t>
      </w:r>
    </w:p>
    <w:p w14:paraId="38B744B9" w14:textId="77777777" w:rsidR="00C442A2" w:rsidRPr="00520121" w:rsidRDefault="00C442A2" w:rsidP="00ED1077">
      <w:pPr>
        <w:pStyle w:val="TextBox"/>
      </w:pPr>
      <w:r w:rsidRPr="00520121">
        <w:t>=  Dépense de consommation finale</w:t>
      </w:r>
    </w:p>
    <w:p w14:paraId="38B744BA" w14:textId="77777777" w:rsidR="00C442A2" w:rsidRPr="00520121" w:rsidRDefault="00C442A2" w:rsidP="00ED1077">
      <w:pPr>
        <w:pStyle w:val="TextBox"/>
      </w:pPr>
      <w:r w:rsidRPr="00520121">
        <w:t>+  Formation brute de capital (FBC)</w:t>
      </w:r>
    </w:p>
    <w:p w14:paraId="38B744BB" w14:textId="77777777" w:rsidR="00C442A2" w:rsidRPr="00520121" w:rsidRDefault="00C442A2" w:rsidP="00ED1077">
      <w:pPr>
        <w:pStyle w:val="TextBox"/>
      </w:pPr>
      <w:r w:rsidRPr="00520121">
        <w:t>+  Exportations de biens et services</w:t>
      </w:r>
    </w:p>
    <w:p w14:paraId="38B744BC" w14:textId="77777777" w:rsidR="00C442A2" w:rsidRPr="00520121" w:rsidRDefault="00C442A2" w:rsidP="00ED1077">
      <w:pPr>
        <w:pStyle w:val="TextBox"/>
      </w:pPr>
      <w:r w:rsidRPr="00520121">
        <w:t>–  Importations de biens et services</w:t>
      </w:r>
    </w:p>
    <w:p w14:paraId="38B744BD" w14:textId="77777777" w:rsidR="00C442A2" w:rsidRPr="00520121" w:rsidRDefault="00C442A2" w:rsidP="00ED1077">
      <w:pPr>
        <w:pStyle w:val="TextBox"/>
      </w:pPr>
      <w:r w:rsidRPr="00520121">
        <w:t>=  Valeur ajoutée brute aux prix de base</w:t>
      </w:r>
    </w:p>
    <w:p w14:paraId="38B744BE" w14:textId="77777777" w:rsidR="00C442A2" w:rsidRPr="00520121" w:rsidRDefault="00C442A2" w:rsidP="00ED1077">
      <w:pPr>
        <w:pStyle w:val="TextBox"/>
      </w:pPr>
      <w:r w:rsidRPr="00520121">
        <w:t>+  Impôts moins subventions sur les produits</w:t>
      </w:r>
    </w:p>
    <w:p w14:paraId="38B744BF" w14:textId="77777777" w:rsidR="00C442A2" w:rsidRPr="00520121" w:rsidRDefault="00C442A2" w:rsidP="00ED1077">
      <w:pPr>
        <w:pStyle w:val="TextBox"/>
      </w:pPr>
      <w:r w:rsidRPr="00520121">
        <w:t>Revenu national net (RNN) aux prix du marché</w:t>
      </w:r>
    </w:p>
    <w:p w14:paraId="38B744C0" w14:textId="77777777" w:rsidR="00C442A2" w:rsidRPr="00520121" w:rsidRDefault="00C442A2" w:rsidP="00ED1077">
      <w:pPr>
        <w:pStyle w:val="TextBox"/>
        <w:rPr>
          <w:b/>
        </w:rPr>
      </w:pPr>
      <w:r w:rsidRPr="00520121">
        <w:rPr>
          <w:b/>
        </w:rPr>
        <w:t>=  PIB aux prix du marché</w:t>
      </w:r>
    </w:p>
    <w:p w14:paraId="38B744C1" w14:textId="77777777" w:rsidR="00C442A2" w:rsidRPr="00520121" w:rsidRDefault="00C442A2" w:rsidP="00ED1077">
      <w:pPr>
        <w:pStyle w:val="TextBox"/>
      </w:pPr>
      <w:r w:rsidRPr="00520121">
        <w:t>+  Impôts moins subventions sur la production et les importations (nets, reçus du reste du monde)</w:t>
      </w:r>
    </w:p>
    <w:p w14:paraId="38B744C2" w14:textId="77777777" w:rsidR="00C442A2" w:rsidRPr="00520121" w:rsidRDefault="00C442A2" w:rsidP="00ED1077">
      <w:pPr>
        <w:pStyle w:val="TextBox"/>
      </w:pPr>
      <w:r w:rsidRPr="00520121">
        <w:t>+  Rémunération des salariés (nette, reçue du reste du monde)</w:t>
      </w:r>
    </w:p>
    <w:p w14:paraId="38B744C3" w14:textId="77777777" w:rsidR="00C442A2" w:rsidRPr="00520121" w:rsidRDefault="00C442A2" w:rsidP="00ED1077">
      <w:pPr>
        <w:pStyle w:val="TextBox"/>
      </w:pPr>
      <w:r w:rsidRPr="00520121">
        <w:t>+  Revenus de la propriété (nets, reçus du reste du monde)</w:t>
      </w:r>
    </w:p>
    <w:p w14:paraId="38B744C4" w14:textId="77777777" w:rsidR="00C442A2" w:rsidRPr="00520121" w:rsidRDefault="00C442A2" w:rsidP="00ED1077">
      <w:pPr>
        <w:pStyle w:val="TextBox"/>
      </w:pPr>
      <w:r w:rsidRPr="00520121">
        <w:t>–  Consommation de capital fixe</w:t>
      </w:r>
    </w:p>
    <w:p w14:paraId="38B744C5" w14:textId="77777777" w:rsidR="00C442A2" w:rsidRPr="00520121" w:rsidRDefault="00C442A2" w:rsidP="00ED1077">
      <w:pPr>
        <w:pStyle w:val="TextBox"/>
        <w:rPr>
          <w:b/>
        </w:rPr>
      </w:pPr>
      <w:r w:rsidRPr="00520121">
        <w:rPr>
          <w:b/>
        </w:rPr>
        <w:t>Revenu national disponible net (RNDN)</w:t>
      </w:r>
    </w:p>
    <w:p w14:paraId="38B744C6" w14:textId="77777777" w:rsidR="00C442A2" w:rsidRPr="00520121" w:rsidRDefault="00C442A2" w:rsidP="00ED1077">
      <w:pPr>
        <w:pStyle w:val="TextBox"/>
      </w:pPr>
      <w:r w:rsidRPr="00520121">
        <w:t>=  RNN aux prix de marché</w:t>
      </w:r>
    </w:p>
    <w:p w14:paraId="38B744C7" w14:textId="77777777" w:rsidR="00C442A2" w:rsidRPr="00520121" w:rsidRDefault="00C442A2" w:rsidP="00ED1077">
      <w:pPr>
        <w:pStyle w:val="TextBox"/>
      </w:pPr>
      <w:r w:rsidRPr="00520121">
        <w:t>+  Impôts courants sur le revenu, le patrimoine, etc. (nets, reçus du reste du monde)</w:t>
      </w:r>
    </w:p>
    <w:p w14:paraId="38B744C8" w14:textId="77777777" w:rsidR="00C442A2" w:rsidRPr="00AD68BC" w:rsidRDefault="00C442A2" w:rsidP="00ED1077">
      <w:pPr>
        <w:pStyle w:val="TextBox"/>
      </w:pPr>
      <w:r w:rsidRPr="00AD68BC">
        <w:t>+  Cotisations et prestations sociales et autres transferts courants (nets, reçus du reste du monde)</w:t>
      </w:r>
    </w:p>
    <w:p w14:paraId="38B744C9" w14:textId="77777777" w:rsidR="00C442A2" w:rsidRPr="00AD68BC" w:rsidRDefault="00C442A2" w:rsidP="00597B20">
      <w:pPr>
        <w:pStyle w:val="BoxHeading"/>
      </w:pPr>
      <w:r w:rsidRPr="00AD68BC">
        <w:t>Égalités importantes du SCN (suite)</w:t>
      </w:r>
    </w:p>
    <w:p w14:paraId="38B744CA" w14:textId="77777777" w:rsidR="00C442A2" w:rsidRPr="00C830CB" w:rsidRDefault="00C442A2" w:rsidP="00C830CB">
      <w:pPr>
        <w:pStyle w:val="TextBox"/>
        <w:rPr>
          <w:b/>
        </w:rPr>
      </w:pPr>
      <w:r w:rsidRPr="00C830CB">
        <w:rPr>
          <w:b/>
        </w:rPr>
        <w:t>Épargne nette</w:t>
      </w:r>
    </w:p>
    <w:p w14:paraId="38B744CB" w14:textId="77777777" w:rsidR="00C442A2" w:rsidRPr="00AD68BC" w:rsidRDefault="00C442A2" w:rsidP="00C830CB">
      <w:pPr>
        <w:pStyle w:val="TextBox"/>
      </w:pPr>
      <w:r w:rsidRPr="00AD68BC">
        <w:t>=  RNDN aux prix du marché</w:t>
      </w:r>
    </w:p>
    <w:p w14:paraId="38B744CC" w14:textId="77777777" w:rsidR="00C442A2" w:rsidRPr="00AD68BC" w:rsidRDefault="00C442A2" w:rsidP="00C830CB">
      <w:pPr>
        <w:pStyle w:val="TextBox"/>
      </w:pPr>
      <w:r w:rsidRPr="00AD68BC">
        <w:t>–  Dépense de consommation finale</w:t>
      </w:r>
    </w:p>
    <w:p w14:paraId="38B744CD" w14:textId="77777777" w:rsidR="00C442A2" w:rsidRPr="00AD68BC" w:rsidRDefault="00C442A2" w:rsidP="00C830CB">
      <w:pPr>
        <w:pStyle w:val="TextBox"/>
      </w:pPr>
      <w:r w:rsidRPr="00AD68BC">
        <w:t>+  Ajustement pour variation des droits des ménages sur les fonds de pension (nets, reçus du reste du monde)</w:t>
      </w:r>
    </w:p>
    <w:p w14:paraId="38B744CE" w14:textId="77777777" w:rsidR="00C442A2" w:rsidRPr="00C830CB" w:rsidRDefault="00C442A2" w:rsidP="00C830CB">
      <w:pPr>
        <w:pStyle w:val="TextBox"/>
        <w:rPr>
          <w:b/>
        </w:rPr>
      </w:pPr>
      <w:r w:rsidRPr="00C830CB">
        <w:rPr>
          <w:b/>
        </w:rPr>
        <w:t>Capacité/besoin de financement</w:t>
      </w:r>
    </w:p>
    <w:p w14:paraId="38B744CF" w14:textId="77777777" w:rsidR="00C442A2" w:rsidRPr="00AD68BC" w:rsidRDefault="00C442A2" w:rsidP="00C830CB">
      <w:pPr>
        <w:pStyle w:val="TextBox"/>
      </w:pPr>
      <w:r w:rsidRPr="00AD68BC">
        <w:t>=  Épargne nette</w:t>
      </w:r>
    </w:p>
    <w:p w14:paraId="38B744D0" w14:textId="77777777" w:rsidR="00C442A2" w:rsidRPr="00AD68BC" w:rsidRDefault="00C442A2" w:rsidP="00C830CB">
      <w:pPr>
        <w:pStyle w:val="TextBox"/>
      </w:pPr>
      <w:r w:rsidRPr="00AD68BC">
        <w:t>+  Transferts en capital (nets, reçus du reste du monde)</w:t>
      </w:r>
    </w:p>
    <w:p w14:paraId="38B744D1" w14:textId="77777777" w:rsidR="00C442A2" w:rsidRPr="00AD68BC" w:rsidRDefault="00C442A2" w:rsidP="00C830CB">
      <w:pPr>
        <w:pStyle w:val="TextBox"/>
      </w:pPr>
      <w:r w:rsidRPr="00AD68BC">
        <w:t>–  Formation brute de capital</w:t>
      </w:r>
    </w:p>
    <w:p w14:paraId="38B744D2" w14:textId="77777777" w:rsidR="00C442A2" w:rsidRPr="00AD68BC" w:rsidRDefault="00C442A2" w:rsidP="00C830CB">
      <w:pPr>
        <w:pStyle w:val="TextBox"/>
      </w:pPr>
      <w:r w:rsidRPr="00AD68BC">
        <w:t>–  Acquisitions moins cessions d’actifs non financiers non produits</w:t>
      </w:r>
    </w:p>
    <w:p w14:paraId="38B744D3" w14:textId="77777777" w:rsidR="00C442A2" w:rsidRPr="00597B20" w:rsidRDefault="00C442A2" w:rsidP="00C830CB">
      <w:pPr>
        <w:pStyle w:val="TextBox"/>
      </w:pPr>
      <w:r w:rsidRPr="00597B20">
        <w:t>+  Consommation de capital fixe</w:t>
      </w:r>
    </w:p>
    <w:p w14:paraId="38B744D4" w14:textId="77777777" w:rsidR="00C442A2" w:rsidRPr="00726920" w:rsidRDefault="00C442A2" w:rsidP="00A861B4">
      <w:pPr>
        <w:pStyle w:val="Heading2"/>
      </w:pPr>
      <w:r w:rsidRPr="00726920">
        <w:t>Pour en savoir plus</w:t>
      </w:r>
    </w:p>
    <w:p w14:paraId="38B744D5" w14:textId="77777777" w:rsidR="00C442A2" w:rsidRPr="00726920" w:rsidRDefault="00C442A2" w:rsidP="00726920">
      <w:pPr>
        <w:pStyle w:val="BodyText"/>
      </w:pPr>
      <w:r w:rsidRPr="00726920">
        <w:t>Des références utiles « Pour en savoir plus » sont disponibles à la fin de la plupart des sections.</w:t>
      </w:r>
    </w:p>
    <w:p w14:paraId="38B744D6" w14:textId="77777777" w:rsidR="00C442A2" w:rsidRPr="00726920" w:rsidRDefault="00C442A2" w:rsidP="00726920">
      <w:pPr>
        <w:pStyle w:val="BodyText"/>
      </w:pPr>
      <w:r w:rsidRPr="00726920">
        <w:t>Pour toutes les sections, les informations générales sur la méthodologie et les définitions détaillées sont disponibles dans :</w:t>
      </w:r>
    </w:p>
    <w:p w14:paraId="38B744D8" w14:textId="598A30A8" w:rsidR="00C442A2" w:rsidRDefault="00C442A2" w:rsidP="00A861B4">
      <w:pPr>
        <w:pStyle w:val="ListBullet"/>
        <w:rPr>
          <w:lang w:val="en-GB"/>
        </w:rPr>
      </w:pPr>
      <w:r w:rsidRPr="00C442A2">
        <w:rPr>
          <w:lang w:val="en-GB"/>
        </w:rPr>
        <w:t xml:space="preserve">European Commission, International Monetary Fund, Organisation for Economic Co-operation and Development, United Nations, World Bank, New York, 2009, System of National Accounts 2008, </w:t>
      </w:r>
      <w:hyperlink r:id="rId16" w:history="1">
        <w:r w:rsidRPr="00C442A2">
          <w:rPr>
            <w:rStyle w:val="Hyperlink"/>
            <w:lang w:val="en-GB"/>
          </w:rPr>
          <w:t>http://unstats.un.org/unsd/nationalaccount/docs/SNA2008.pdf</w:t>
        </w:r>
      </w:hyperlink>
      <w:r w:rsidRPr="00C442A2">
        <w:rPr>
          <w:lang w:val="en-GB"/>
        </w:rPr>
        <w:t>.</w:t>
      </w:r>
    </w:p>
    <w:p w14:paraId="294F218D" w14:textId="77777777" w:rsidR="00BC66D4" w:rsidRPr="00C442A2" w:rsidRDefault="00BC66D4" w:rsidP="00BC66D4">
      <w:pPr>
        <w:pStyle w:val="ListBullet"/>
        <w:spacing w:after="120"/>
        <w:rPr>
          <w:lang w:val="en-GB"/>
        </w:rPr>
      </w:pPr>
      <w:r w:rsidRPr="00C442A2">
        <w:rPr>
          <w:lang w:val="en-GB"/>
        </w:rPr>
        <w:t xml:space="preserve">Commission of the European Communities, International Monetary Fund, Organisation for Economic Co-operation and Development, United Nations, World Bank, Brussels / Luxembourg, New York, Paris, Washington, D.C., 1993, System of National Accounts 1993, </w:t>
      </w:r>
      <w:hyperlink r:id="rId17" w:history="1">
        <w:r w:rsidRPr="00C442A2">
          <w:rPr>
            <w:rStyle w:val="Hyperlink"/>
            <w:lang w:val="en-GB"/>
          </w:rPr>
          <w:t>http://unstats.un.org/unsd/nationalaccount/docs/1993sna.pdf</w:t>
        </w:r>
      </w:hyperlink>
      <w:r w:rsidRPr="00C442A2">
        <w:rPr>
          <w:lang w:val="en-GB"/>
        </w:rPr>
        <w:t>.</w:t>
      </w:r>
    </w:p>
    <w:p w14:paraId="257986FB" w14:textId="77777777" w:rsidR="00BC66D4" w:rsidRPr="00BC66D4" w:rsidRDefault="00BC66D4" w:rsidP="000748AA">
      <w:pPr>
        <w:pStyle w:val="ListBullet"/>
        <w:numPr>
          <w:ilvl w:val="0"/>
          <w:numId w:val="0"/>
        </w:numPr>
        <w:ind w:left="850"/>
        <w:rPr>
          <w:lang w:val="en-GB"/>
        </w:rPr>
      </w:pPr>
    </w:p>
    <w:p w14:paraId="38B744DB" w14:textId="77777777" w:rsidR="00C442A2" w:rsidRPr="00726920" w:rsidRDefault="00C442A2" w:rsidP="00726920">
      <w:pPr>
        <w:pStyle w:val="BodyText"/>
      </w:pPr>
      <w:r w:rsidRPr="00726920">
        <w:t>Des informations supplémentaires et des tableaux complémentaires se trouvent dans :</w:t>
      </w:r>
    </w:p>
    <w:p w14:paraId="1ABB5640" w14:textId="77777777" w:rsidR="009271E4" w:rsidRPr="00E27EA5" w:rsidRDefault="009271E4" w:rsidP="009271E4">
      <w:pPr>
        <w:pStyle w:val="ListBullet"/>
        <w:rPr>
          <w:rStyle w:val="Hyperlink"/>
          <w:rFonts w:ascii="Verdana" w:hAnsi="Verdana"/>
          <w:sz w:val="20"/>
          <w:szCs w:val="20"/>
        </w:rPr>
      </w:pPr>
      <w:r w:rsidRPr="00E27EA5">
        <w:t>OECD (2014), </w:t>
      </w:r>
      <w:r w:rsidRPr="00B47007">
        <w:rPr>
          <w:i/>
          <w:iCs/>
        </w:rPr>
        <w:t>Panorama des statistiques de l'OCDE 2014: E</w:t>
      </w:r>
      <w:bookmarkStart w:id="0" w:name="_GoBack"/>
      <w:bookmarkEnd w:id="0"/>
      <w:r w:rsidRPr="00B47007">
        <w:rPr>
          <w:i/>
          <w:iCs/>
        </w:rPr>
        <w:t>conomie, environnement et société</w:t>
      </w:r>
      <w:r w:rsidRPr="00E27EA5">
        <w:t>, OECD Publishing, Paris.</w:t>
      </w:r>
      <w:r w:rsidRPr="00E27EA5">
        <w:br/>
        <w:t xml:space="preserve">DOI: </w:t>
      </w:r>
      <w:hyperlink r:id="rId18" w:tgtFrame="_blank" w:tooltip="http://dx.doi.org/10.1787/factbook-2014-fr" w:history="1">
        <w:r w:rsidRPr="00B47007">
          <w:t>http://dx.doi.org/10.1787/factbook-2014-fr</w:t>
        </w:r>
      </w:hyperlink>
    </w:p>
    <w:p w14:paraId="38B744DE" w14:textId="77777777" w:rsidR="00C442A2" w:rsidRPr="00726920" w:rsidRDefault="00C442A2" w:rsidP="00A861B4">
      <w:pPr>
        <w:pStyle w:val="Heading2"/>
      </w:pPr>
      <w:r w:rsidRPr="00726920">
        <w:t>Données en ligne</w:t>
      </w:r>
    </w:p>
    <w:p w14:paraId="38B744DF" w14:textId="77777777" w:rsidR="00C442A2" w:rsidRPr="00726920" w:rsidRDefault="00C442A2" w:rsidP="00A861B4">
      <w:pPr>
        <w:pStyle w:val="Heading3"/>
      </w:pPr>
      <w:r w:rsidRPr="00726920">
        <w:t>Panorama des comptes nationaux – Base de données</w:t>
      </w:r>
    </w:p>
    <w:p w14:paraId="38B744E0" w14:textId="1AB76660" w:rsidR="00C442A2" w:rsidRPr="00726920" w:rsidRDefault="00C442A2" w:rsidP="00726920">
      <w:pPr>
        <w:pStyle w:val="BodyText"/>
      </w:pPr>
      <w:r w:rsidRPr="00726920">
        <w:t xml:space="preserve">La Base de données Panorama des comptes nationaux est mise à jour en ligne en continu et contient des séries couvrant une période plus longue que la publication: </w:t>
      </w:r>
      <w:hyperlink r:id="rId19" w:history="1">
        <w:r w:rsidRPr="004F189F">
          <w:rPr>
            <w:rStyle w:val="Hyperlink"/>
          </w:rPr>
          <w:t>www.oecdilibrary.org/oecd/content/data/data-00369-fr</w:t>
        </w:r>
      </w:hyperlink>
      <w:r w:rsidRPr="00726920">
        <w:t>. Les données sont disponibles dès 1970 pour certains pays.</w:t>
      </w:r>
    </w:p>
    <w:p w14:paraId="38B744E1" w14:textId="77777777" w:rsidR="00C442A2" w:rsidRPr="00726920" w:rsidRDefault="00C442A2" w:rsidP="00726920">
      <w:pPr>
        <w:pStyle w:val="BodyText"/>
      </w:pPr>
      <w:r w:rsidRPr="00726920">
        <w:t>Un inventaire des séries fournies dans Panorama des comptes nationaux est disponible en ligne. L’inventaire comprend les titres des séries ainsi que les codes de la base de données. L’inventaire se trouve à l’adresse suivante : www.ocde.org/statistiques/comptesnationaux/ panorama.</w:t>
      </w:r>
    </w:p>
    <w:p w14:paraId="38B744E2" w14:textId="77777777" w:rsidR="00C442A2" w:rsidRPr="00726920" w:rsidRDefault="00C442A2" w:rsidP="00A861B4">
      <w:pPr>
        <w:pStyle w:val="Heading3"/>
      </w:pPr>
      <w:r w:rsidRPr="00726920">
        <w:t>Données détaillées des comptes nationaux</w:t>
      </w:r>
    </w:p>
    <w:p w14:paraId="38B744E3" w14:textId="77777777" w:rsidR="00C442A2" w:rsidRPr="00726920" w:rsidRDefault="00C442A2" w:rsidP="00726920">
      <w:pPr>
        <w:pStyle w:val="BodyText"/>
      </w:pPr>
      <w:r w:rsidRPr="00726920">
        <w:t xml:space="preserve">Panorama des comptes nationaux est l’un des fichiers de données de la base de données Statistiques de l’OCDE sur les comptes nationaux que l’on peut consulter à l’adresse suivante : </w:t>
      </w:r>
      <w:hyperlink r:id="rId20" w:history="1">
        <w:r w:rsidRPr="004F189F">
          <w:rPr>
            <w:rStyle w:val="Hyperlink"/>
          </w:rPr>
          <w:t>http://dx.doi.org/10.1787/na-data-fr</w:t>
        </w:r>
      </w:hyperlink>
      <w:r>
        <w:t xml:space="preserve"> </w:t>
      </w:r>
      <w:r w:rsidRPr="00726920">
        <w:t>. Cette grande base de données comprend des informations très détaillées sur les comptes nationaux annuels, les comptes financiers et les comptes du gouvernement dont la plupart sont aussi disponibles en fréquence trimestrielle.</w:t>
      </w:r>
    </w:p>
    <w:p w14:paraId="38B744E4" w14:textId="77777777" w:rsidR="00C442A2" w:rsidRPr="00726920" w:rsidRDefault="00C442A2" w:rsidP="00726920">
      <w:pPr>
        <w:pStyle w:val="BodyText"/>
      </w:pPr>
      <w:r w:rsidRPr="00726920">
        <w:t>Liste des fichiers de données disponibles en ligne :</w:t>
      </w:r>
    </w:p>
    <w:p w14:paraId="38B744E5" w14:textId="77777777" w:rsidR="00C442A2" w:rsidRPr="00726920" w:rsidRDefault="00C442A2" w:rsidP="00726920">
      <w:pPr>
        <w:pStyle w:val="BodyText"/>
      </w:pPr>
      <w:r w:rsidRPr="00726920">
        <w:t>Agrégats des comptes nationaux</w:t>
      </w:r>
    </w:p>
    <w:p w14:paraId="38B744E6" w14:textId="77777777" w:rsidR="00C442A2" w:rsidRPr="00726920" w:rsidRDefault="00C442A2" w:rsidP="00A861B4">
      <w:pPr>
        <w:pStyle w:val="ListBullet"/>
      </w:pPr>
      <w:r w:rsidRPr="00726920">
        <w:t>Produit intérieur brut.</w:t>
      </w:r>
    </w:p>
    <w:p w14:paraId="38B744E7" w14:textId="77777777" w:rsidR="00C442A2" w:rsidRPr="00726920" w:rsidRDefault="00C442A2" w:rsidP="00A861B4">
      <w:pPr>
        <w:pStyle w:val="ListBullet"/>
      </w:pPr>
      <w:r w:rsidRPr="00726920">
        <w:t>Revenu disponible et capacité/besoin de financement.</w:t>
      </w:r>
    </w:p>
    <w:p w14:paraId="38B744E8" w14:textId="77777777" w:rsidR="00C442A2" w:rsidRPr="00726920" w:rsidRDefault="00C442A2" w:rsidP="00A861B4">
      <w:pPr>
        <w:pStyle w:val="ListBullet"/>
      </w:pPr>
      <w:r w:rsidRPr="00726920">
        <w:t>Population et emploi par activité.</w:t>
      </w:r>
    </w:p>
    <w:p w14:paraId="38B744E9" w14:textId="77777777" w:rsidR="00C442A2" w:rsidRPr="00726920" w:rsidRDefault="00C442A2" w:rsidP="00A861B4">
      <w:pPr>
        <w:pStyle w:val="ListBullet"/>
      </w:pPr>
      <w:r w:rsidRPr="00726920">
        <w:t>PPA et taux de change.</w:t>
      </w:r>
    </w:p>
    <w:p w14:paraId="38B744EA" w14:textId="77777777" w:rsidR="00C442A2" w:rsidRPr="00726920" w:rsidRDefault="00C442A2" w:rsidP="00A861B4">
      <w:pPr>
        <w:pStyle w:val="Heading3"/>
      </w:pPr>
      <w:r w:rsidRPr="00726920">
        <w:t>Comptes nationaux détaillés</w:t>
      </w:r>
    </w:p>
    <w:p w14:paraId="38B744EB" w14:textId="77777777" w:rsidR="00C442A2" w:rsidRPr="00726920" w:rsidRDefault="00C442A2" w:rsidP="00A861B4">
      <w:pPr>
        <w:pStyle w:val="ListBullet"/>
      </w:pPr>
      <w:r w:rsidRPr="00726920">
        <w:t>Comptes de patrimoine des actifs non financiers.</w:t>
      </w:r>
    </w:p>
    <w:p w14:paraId="38B744EC" w14:textId="77777777" w:rsidR="00C442A2" w:rsidRPr="00726920" w:rsidRDefault="00C442A2" w:rsidP="00A861B4">
      <w:pPr>
        <w:pStyle w:val="ListBullet"/>
      </w:pPr>
      <w:r w:rsidRPr="00726920">
        <w:t>Formation de capital par activité.</w:t>
      </w:r>
    </w:p>
    <w:p w14:paraId="38B744ED" w14:textId="77777777" w:rsidR="00C442A2" w:rsidRPr="00726920" w:rsidRDefault="00C442A2" w:rsidP="00A861B4">
      <w:pPr>
        <w:pStyle w:val="ListBullet"/>
      </w:pPr>
      <w:r w:rsidRPr="00726920">
        <w:t>Dépense de consommation finale des ménages.</w:t>
      </w:r>
    </w:p>
    <w:p w14:paraId="38B744EE" w14:textId="77777777" w:rsidR="00C442A2" w:rsidRPr="00726920" w:rsidRDefault="00C442A2" w:rsidP="00A861B4">
      <w:pPr>
        <w:pStyle w:val="ListBullet"/>
      </w:pPr>
      <w:r w:rsidRPr="00726920">
        <w:t>Actifs fixes par activité et par type de produit.</w:t>
      </w:r>
    </w:p>
    <w:p w14:paraId="38B744EF" w14:textId="77777777" w:rsidR="00C442A2" w:rsidRPr="00726920" w:rsidRDefault="00C442A2" w:rsidP="00A861B4">
      <w:pPr>
        <w:pStyle w:val="ListBullet"/>
      </w:pPr>
      <w:r w:rsidRPr="00726920">
        <w:t>Emploi par activité.</w:t>
      </w:r>
    </w:p>
    <w:p w14:paraId="38B744F0" w14:textId="77777777" w:rsidR="00C442A2" w:rsidRPr="00726920" w:rsidRDefault="00C442A2" w:rsidP="00A861B4">
      <w:pPr>
        <w:pStyle w:val="ListBullet"/>
      </w:pPr>
      <w:r w:rsidRPr="00726920">
        <w:t>Comptes non financiers par secteur.</w:t>
      </w:r>
    </w:p>
    <w:p w14:paraId="38B744F1" w14:textId="77777777" w:rsidR="00C442A2" w:rsidRPr="00726920" w:rsidRDefault="00C442A2" w:rsidP="00A861B4">
      <w:pPr>
        <w:pStyle w:val="ListBullet"/>
      </w:pPr>
      <w:r w:rsidRPr="00726920">
        <w:t>Comptes non financiers simplifiés.</w:t>
      </w:r>
    </w:p>
    <w:p w14:paraId="38B744F2" w14:textId="77777777" w:rsidR="00C442A2" w:rsidRPr="00726920" w:rsidRDefault="00C442A2" w:rsidP="00A861B4">
      <w:pPr>
        <w:pStyle w:val="ListBullet"/>
      </w:pPr>
      <w:r w:rsidRPr="00726920">
        <w:t>Valeur ajoutée par activité.</w:t>
      </w:r>
    </w:p>
    <w:p w14:paraId="38B744F3" w14:textId="77777777" w:rsidR="00C442A2" w:rsidRPr="00726920" w:rsidRDefault="00C442A2" w:rsidP="00A861B4">
      <w:pPr>
        <w:pStyle w:val="Heading3"/>
      </w:pPr>
      <w:r w:rsidRPr="00726920">
        <w:t>Comptes financiers</w:t>
      </w:r>
    </w:p>
    <w:p w14:paraId="38B744F4" w14:textId="77777777" w:rsidR="00C442A2" w:rsidRPr="00726920" w:rsidRDefault="00C442A2" w:rsidP="00A861B4">
      <w:pPr>
        <w:pStyle w:val="ListBullet"/>
      </w:pPr>
      <w:r w:rsidRPr="00726920">
        <w:t>Comptes financiers consolidés (flux).</w:t>
      </w:r>
    </w:p>
    <w:p w14:paraId="38B744F5" w14:textId="77777777" w:rsidR="00C442A2" w:rsidRPr="00726920" w:rsidRDefault="00C442A2" w:rsidP="00A861B4">
      <w:pPr>
        <w:pStyle w:val="ListBullet"/>
      </w:pPr>
      <w:r w:rsidRPr="00726920">
        <w:t>Comptes financiers non consolidés (flux).</w:t>
      </w:r>
    </w:p>
    <w:p w14:paraId="38B744F6" w14:textId="77777777" w:rsidR="00C442A2" w:rsidRPr="00726920" w:rsidRDefault="00C442A2" w:rsidP="00A861B4">
      <w:pPr>
        <w:pStyle w:val="ListBullet"/>
      </w:pPr>
      <w:r w:rsidRPr="00726920">
        <w:t>Comptes de patrimoine financier consolidés (stocks).</w:t>
      </w:r>
    </w:p>
    <w:p w14:paraId="38B744F7" w14:textId="77777777" w:rsidR="00C442A2" w:rsidRPr="00726920" w:rsidRDefault="00C442A2" w:rsidP="00A861B4">
      <w:pPr>
        <w:pStyle w:val="ListBullet"/>
      </w:pPr>
      <w:r w:rsidRPr="00726920">
        <w:t>Comptes de patrimoine financier non consolidés (stocks).</w:t>
      </w:r>
    </w:p>
    <w:p w14:paraId="38B744F8" w14:textId="77777777" w:rsidR="00C442A2" w:rsidRPr="00726920" w:rsidRDefault="00C442A2" w:rsidP="00A861B4">
      <w:pPr>
        <w:pStyle w:val="Heading3"/>
      </w:pPr>
      <w:r w:rsidRPr="00726920">
        <w:t>Comptes des administrations publiques</w:t>
      </w:r>
    </w:p>
    <w:p w14:paraId="38B744F9" w14:textId="77777777" w:rsidR="00C442A2" w:rsidRPr="00726920" w:rsidRDefault="00C442A2" w:rsidP="00A861B4">
      <w:pPr>
        <w:pStyle w:val="ListBullet"/>
      </w:pPr>
      <w:r w:rsidRPr="00726920">
        <w:t>Dépenses par fonction.</w:t>
      </w:r>
    </w:p>
    <w:p w14:paraId="38B744FA" w14:textId="77777777" w:rsidR="00C442A2" w:rsidRPr="00726920" w:rsidRDefault="00C442A2" w:rsidP="00A861B4">
      <w:pPr>
        <w:pStyle w:val="ListBullet"/>
      </w:pPr>
      <w:r w:rsidRPr="00726920">
        <w:t>Dette de Maastricht.</w:t>
      </w:r>
    </w:p>
    <w:p w14:paraId="38B744FB" w14:textId="77777777" w:rsidR="00C442A2" w:rsidRPr="00726920" w:rsidRDefault="00C442A2" w:rsidP="00A861B4">
      <w:pPr>
        <w:pStyle w:val="ListBullet"/>
      </w:pPr>
      <w:r w:rsidRPr="00726920">
        <w:t>Principaux agrégats.</w:t>
      </w:r>
    </w:p>
    <w:p w14:paraId="38B744FC" w14:textId="77777777" w:rsidR="00C442A2" w:rsidRPr="00726920" w:rsidRDefault="00C442A2" w:rsidP="00A861B4">
      <w:pPr>
        <w:pStyle w:val="ListBullet"/>
      </w:pPr>
      <w:r w:rsidRPr="00726920">
        <w:t>Impôts et cotisations sociales.</w:t>
      </w:r>
    </w:p>
    <w:p w14:paraId="38B744FD" w14:textId="77777777" w:rsidR="00C442A2" w:rsidRPr="00726920" w:rsidRDefault="00C442A2" w:rsidP="00A861B4">
      <w:pPr>
        <w:pStyle w:val="Heading2"/>
      </w:pPr>
      <w:r w:rsidRPr="00726920">
        <w:t>Websites</w:t>
      </w:r>
    </w:p>
    <w:p w14:paraId="38B744FE" w14:textId="77777777" w:rsidR="00C442A2" w:rsidRPr="00726920" w:rsidRDefault="00C442A2" w:rsidP="00726920">
      <w:pPr>
        <w:pStyle w:val="BodyText"/>
      </w:pPr>
      <w:r w:rsidRPr="00726920">
        <w:t xml:space="preserve">●  OCDE Comptes nationaux, </w:t>
      </w:r>
      <w:hyperlink r:id="rId21" w:history="1">
        <w:r w:rsidRPr="004F189F">
          <w:rPr>
            <w:rStyle w:val="Hyperlink"/>
          </w:rPr>
          <w:t>www.oecd.org/std/comptesnationaux</w:t>
        </w:r>
      </w:hyperlink>
      <w:r>
        <w:t xml:space="preserve"> </w:t>
      </w:r>
      <w:r w:rsidRPr="00726920">
        <w:t>.</w:t>
      </w:r>
    </w:p>
    <w:p w14:paraId="38B744FF" w14:textId="77777777" w:rsidR="00C442A2" w:rsidRPr="00726920" w:rsidRDefault="00C442A2" w:rsidP="00C442A2">
      <w:pPr>
        <w:pStyle w:val="BodyText"/>
        <w:ind w:firstLine="0"/>
      </w:pPr>
    </w:p>
    <w:p w14:paraId="38B74500" w14:textId="77777777" w:rsidR="00125645" w:rsidRPr="00C442A2" w:rsidRDefault="00125645" w:rsidP="00C442A2">
      <w:pPr>
        <w:pStyle w:val="BodyText"/>
      </w:pPr>
    </w:p>
    <w:sectPr w:rsidR="00125645" w:rsidRPr="00C442A2" w:rsidSect="000748AA">
      <w:headerReference w:type="even" r:id="rId22"/>
      <w:footerReference w:type="even" r:id="rId23"/>
      <w:footerReference w:type="default" r:id="rId24"/>
      <w:endnotePr>
        <w:numFmt w:val="decimal"/>
      </w:endnotePr>
      <w:pgSz w:w="11906" w:h="16838"/>
      <w:pgMar w:top="1956" w:right="1247" w:bottom="1956" w:left="1985" w:header="567" w:footer="14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74503" w14:textId="77777777" w:rsidR="00C442A2" w:rsidRDefault="00C442A2">
      <w:r>
        <w:separator/>
      </w:r>
    </w:p>
  </w:endnote>
  <w:endnote w:type="continuationSeparator" w:id="0">
    <w:p w14:paraId="38B74504" w14:textId="77777777" w:rsidR="00C442A2" w:rsidRDefault="00C4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 Roman">
    <w:panose1 w:val="000005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4507" w14:textId="77777777" w:rsidR="00125645" w:rsidRDefault="002E7A14" w:rsidP="00C442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B74508" w14:textId="77777777" w:rsidR="00125645" w:rsidRDefault="001256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4509" w14:textId="77777777" w:rsidR="00C442A2" w:rsidRDefault="00C442A2" w:rsidP="00171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20D3">
      <w:rPr>
        <w:rStyle w:val="PageNumber"/>
        <w:noProof/>
      </w:rPr>
      <w:t>7</w:t>
    </w:r>
    <w:r>
      <w:rPr>
        <w:rStyle w:val="PageNumber"/>
      </w:rPr>
      <w:fldChar w:fldCharType="end"/>
    </w:r>
  </w:p>
  <w:p w14:paraId="38B7450A" w14:textId="77777777" w:rsidR="00125645" w:rsidRPr="00C442A2" w:rsidRDefault="00125645" w:rsidP="00C44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74501" w14:textId="77777777" w:rsidR="00C442A2" w:rsidRDefault="00C442A2">
      <w:r>
        <w:separator/>
      </w:r>
    </w:p>
  </w:footnote>
  <w:footnote w:type="continuationSeparator" w:id="0">
    <w:p w14:paraId="38B74502" w14:textId="77777777" w:rsidR="00C442A2" w:rsidRDefault="00C44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4505" w14:textId="77777777" w:rsidR="00125645" w:rsidRDefault="002E7A14">
    <w:pPr>
      <w:pStyle w:val="Header"/>
    </w:pPr>
    <w:r>
      <w:t>AAA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F80230"/>
    <w:lvl w:ilvl="0">
      <w:start w:val="1"/>
      <w:numFmt w:val="bullet"/>
      <w:lvlText w:val=""/>
      <w:lvlJc w:val="left"/>
      <w:pPr>
        <w:tabs>
          <w:tab w:val="num" w:pos="360"/>
        </w:tabs>
        <w:ind w:left="360" w:hanging="360"/>
      </w:pPr>
      <w:rPr>
        <w:rFonts w:ascii="Symbol" w:hAnsi="Symbol" w:hint="default"/>
      </w:rPr>
    </w:lvl>
  </w:abstractNum>
  <w:abstractNum w:abstractNumId="1">
    <w:nsid w:val="01C62BE3"/>
    <w:multiLevelType w:val="hybridMultilevel"/>
    <w:tmpl w:val="9C4C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1F56B3"/>
    <w:multiLevelType w:val="hybridMultilevel"/>
    <w:tmpl w:val="8FA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nsid w:val="0870594C"/>
    <w:multiLevelType w:val="hybridMultilevel"/>
    <w:tmpl w:val="F8381B06"/>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5">
    <w:nsid w:val="097A49FD"/>
    <w:multiLevelType w:val="hybridMultilevel"/>
    <w:tmpl w:val="7D0A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EC4F17"/>
    <w:multiLevelType w:val="hybridMultilevel"/>
    <w:tmpl w:val="80F24B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0C4726F4"/>
    <w:multiLevelType w:val="multilevel"/>
    <w:tmpl w:val="F99EB0E0"/>
    <w:name w:val="templateNumber2"/>
    <w:lvl w:ilvl="0">
      <w:start w:val="1"/>
      <w:numFmt w:val="decimal"/>
      <w:lvlText w:val="%1."/>
      <w:lvlJc w:val="left"/>
      <w:pPr>
        <w:tabs>
          <w:tab w:val="num" w:pos="850"/>
        </w:tabs>
        <w:ind w:left="850" w:hanging="408"/>
      </w:pPr>
    </w:lvl>
    <w:lvl w:ilvl="1">
      <w:start w:val="1"/>
      <w:numFmt w:val="decimal"/>
      <w:lvlText w:val="%2."/>
      <w:lvlJc w:val="left"/>
      <w:pPr>
        <w:tabs>
          <w:tab w:val="num" w:pos="1191"/>
        </w:tabs>
        <w:ind w:left="1191" w:hanging="341"/>
      </w:pPr>
    </w:lvl>
    <w:lvl w:ilvl="2">
      <w:start w:val="1"/>
      <w:numFmt w:val="decimal"/>
      <w:lvlText w:val="%3."/>
      <w:lvlJc w:val="left"/>
      <w:pPr>
        <w:tabs>
          <w:tab w:val="num" w:pos="1474"/>
        </w:tabs>
        <w:ind w:left="1474" w:hanging="340"/>
      </w:pPr>
    </w:lvl>
    <w:lvl w:ilvl="3">
      <w:start w:val="1"/>
      <w:numFmt w:val="decimal"/>
      <w:lvlText w:val="%4."/>
      <w:lvlJc w:val="left"/>
      <w:pPr>
        <w:tabs>
          <w:tab w:val="num" w:pos="1757"/>
        </w:tabs>
        <w:ind w:left="1757" w:hanging="340"/>
      </w:pPr>
    </w:lvl>
    <w:lvl w:ilvl="4">
      <w:start w:val="1"/>
      <w:numFmt w:val="decimal"/>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C890C55"/>
    <w:multiLevelType w:val="singleLevel"/>
    <w:tmpl w:val="15B65924"/>
    <w:name w:val="templateBulletBox3"/>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9">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1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11">
    <w:nsid w:val="0E297308"/>
    <w:multiLevelType w:val="hybridMultilevel"/>
    <w:tmpl w:val="0738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3">
    <w:nsid w:val="157968A9"/>
    <w:multiLevelType w:val="singleLevel"/>
    <w:tmpl w:val="D5A6E36A"/>
    <w:name w:val="NumericNote"/>
    <w:lvl w:ilvl="0">
      <w:start w:val="1"/>
      <w:numFmt w:val="decimal"/>
      <w:lvlText w:val="%1."/>
      <w:lvlJc w:val="left"/>
      <w:pPr>
        <w:tabs>
          <w:tab w:val="num" w:pos="850"/>
        </w:tabs>
        <w:ind w:left="850" w:hanging="408"/>
      </w:pPr>
    </w:lvl>
  </w:abstractNum>
  <w:abstractNum w:abstractNumId="14">
    <w:nsid w:val="18D2762D"/>
    <w:multiLevelType w:val="hybridMultilevel"/>
    <w:tmpl w:val="D92C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174E65"/>
    <w:multiLevelType w:val="hybridMultilevel"/>
    <w:tmpl w:val="7470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397F89"/>
    <w:multiLevelType w:val="singleLevel"/>
    <w:tmpl w:val="60A0508A"/>
    <w:name w:val="AlphaNote"/>
    <w:lvl w:ilvl="0">
      <w:start w:val="1"/>
      <w:numFmt w:val="lowerLetter"/>
      <w:lvlText w:val="%1."/>
      <w:lvlJc w:val="left"/>
      <w:pPr>
        <w:tabs>
          <w:tab w:val="num" w:pos="850"/>
        </w:tabs>
        <w:ind w:left="850" w:hanging="408"/>
      </w:pPr>
    </w:lvl>
  </w:abstractNum>
  <w:abstractNum w:abstractNumId="17">
    <w:nsid w:val="276F7D6A"/>
    <w:multiLevelType w:val="hybridMultilevel"/>
    <w:tmpl w:val="4C72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19">
    <w:nsid w:val="2D7D6343"/>
    <w:multiLevelType w:val="hybridMultilevel"/>
    <w:tmpl w:val="9566D830"/>
    <w:lvl w:ilvl="0" w:tplc="4D1462F0">
      <w:start w:val="1"/>
      <w:numFmt w:val="bullet"/>
      <w:lvlText w:val="•"/>
      <w:lvlJc w:val="left"/>
      <w:pPr>
        <w:ind w:hanging="171"/>
      </w:pPr>
      <w:rPr>
        <w:rFonts w:ascii="Caecilia Roman" w:eastAsia="Caecilia Roman" w:hAnsi="Caecilia Roman" w:hint="default"/>
        <w:w w:val="99"/>
        <w:sz w:val="17"/>
        <w:szCs w:val="17"/>
      </w:rPr>
    </w:lvl>
    <w:lvl w:ilvl="1" w:tplc="00D89BE8">
      <w:start w:val="1"/>
      <w:numFmt w:val="bullet"/>
      <w:lvlText w:val="•"/>
      <w:lvlJc w:val="left"/>
      <w:pPr>
        <w:ind w:hanging="171"/>
      </w:pPr>
      <w:rPr>
        <w:rFonts w:ascii="Caecilia Roman" w:eastAsia="Caecilia Roman" w:hAnsi="Caecilia Roman" w:hint="default"/>
        <w:w w:val="99"/>
        <w:sz w:val="17"/>
        <w:szCs w:val="17"/>
      </w:rPr>
    </w:lvl>
    <w:lvl w:ilvl="2" w:tplc="7C6C9814">
      <w:start w:val="1"/>
      <w:numFmt w:val="bullet"/>
      <w:lvlText w:val="•"/>
      <w:lvlJc w:val="left"/>
      <w:rPr>
        <w:rFonts w:hint="default"/>
      </w:rPr>
    </w:lvl>
    <w:lvl w:ilvl="3" w:tplc="CC00D08A">
      <w:start w:val="1"/>
      <w:numFmt w:val="bullet"/>
      <w:lvlText w:val="•"/>
      <w:lvlJc w:val="left"/>
      <w:rPr>
        <w:rFonts w:hint="default"/>
      </w:rPr>
    </w:lvl>
    <w:lvl w:ilvl="4" w:tplc="D6FC04FE">
      <w:start w:val="1"/>
      <w:numFmt w:val="bullet"/>
      <w:lvlText w:val="•"/>
      <w:lvlJc w:val="left"/>
      <w:rPr>
        <w:rFonts w:hint="default"/>
      </w:rPr>
    </w:lvl>
    <w:lvl w:ilvl="5" w:tplc="E3F6E66C">
      <w:start w:val="1"/>
      <w:numFmt w:val="bullet"/>
      <w:lvlText w:val="•"/>
      <w:lvlJc w:val="left"/>
      <w:rPr>
        <w:rFonts w:hint="default"/>
      </w:rPr>
    </w:lvl>
    <w:lvl w:ilvl="6" w:tplc="45843686">
      <w:start w:val="1"/>
      <w:numFmt w:val="bullet"/>
      <w:lvlText w:val="•"/>
      <w:lvlJc w:val="left"/>
      <w:rPr>
        <w:rFonts w:hint="default"/>
      </w:rPr>
    </w:lvl>
    <w:lvl w:ilvl="7" w:tplc="FA7615D8">
      <w:start w:val="1"/>
      <w:numFmt w:val="bullet"/>
      <w:lvlText w:val="•"/>
      <w:lvlJc w:val="left"/>
      <w:rPr>
        <w:rFonts w:hint="default"/>
      </w:rPr>
    </w:lvl>
    <w:lvl w:ilvl="8" w:tplc="7C9E3E58">
      <w:start w:val="1"/>
      <w:numFmt w:val="bullet"/>
      <w:lvlText w:val="•"/>
      <w:lvlJc w:val="left"/>
      <w:rPr>
        <w:rFonts w:hint="default"/>
      </w:rPr>
    </w:lvl>
  </w:abstractNum>
  <w:abstractNum w:abstractNumId="20">
    <w:nsid w:val="33660904"/>
    <w:multiLevelType w:val="hybridMultilevel"/>
    <w:tmpl w:val="4290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5D0A84"/>
    <w:multiLevelType w:val="multilevel"/>
    <w:tmpl w:val="7F148E5C"/>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22">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7E46D7"/>
    <w:multiLevelType w:val="hybridMultilevel"/>
    <w:tmpl w:val="CD5E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25">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26">
    <w:nsid w:val="4AAE47B4"/>
    <w:multiLevelType w:val="singleLevel"/>
    <w:tmpl w:val="AB6CFFBC"/>
    <w:name w:val="templateBulletBox2"/>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7">
    <w:nsid w:val="4DF74A89"/>
    <w:multiLevelType w:val="hybridMultilevel"/>
    <w:tmpl w:val="441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806857"/>
    <w:multiLevelType w:val="hybridMultilevel"/>
    <w:tmpl w:val="2728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8303CF"/>
    <w:multiLevelType w:val="hybridMultilevel"/>
    <w:tmpl w:val="8AF0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A80A1C"/>
    <w:multiLevelType w:val="hybridMultilevel"/>
    <w:tmpl w:val="1992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32">
    <w:nsid w:val="59D046AB"/>
    <w:multiLevelType w:val="hybridMultilevel"/>
    <w:tmpl w:val="C07A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34">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5">
    <w:nsid w:val="67D108B0"/>
    <w:multiLevelType w:val="hybridMultilevel"/>
    <w:tmpl w:val="55D4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325607"/>
    <w:multiLevelType w:val="hybridMultilevel"/>
    <w:tmpl w:val="1B5A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F76740"/>
    <w:multiLevelType w:val="hybridMultilevel"/>
    <w:tmpl w:val="9502DDEA"/>
    <w:lvl w:ilvl="0" w:tplc="D4D20BEA">
      <w:start w:val="1"/>
      <w:numFmt w:val="bullet"/>
      <w:lvlText w:val=""/>
      <w:lvlJc w:val="left"/>
      <w:pPr>
        <w:ind w:left="786"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1217D3"/>
    <w:multiLevelType w:val="hybridMultilevel"/>
    <w:tmpl w:val="EA18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A1263C"/>
    <w:multiLevelType w:val="hybridMultilevel"/>
    <w:tmpl w:val="03F0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483834"/>
    <w:multiLevelType w:val="hybridMultilevel"/>
    <w:tmpl w:val="DFE4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2412D4"/>
    <w:multiLevelType w:val="hybridMultilevel"/>
    <w:tmpl w:val="44E8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443502"/>
    <w:multiLevelType w:val="hybridMultilevel"/>
    <w:tmpl w:val="79FC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313B7D"/>
    <w:multiLevelType w:val="hybridMultilevel"/>
    <w:tmpl w:val="BB0C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24"/>
  </w:num>
  <w:num w:numId="5">
    <w:abstractNumId w:val="3"/>
  </w:num>
  <w:num w:numId="6">
    <w:abstractNumId w:val="18"/>
  </w:num>
  <w:num w:numId="7">
    <w:abstractNumId w:val="25"/>
  </w:num>
  <w:num w:numId="8">
    <w:abstractNumId w:val="31"/>
  </w:num>
  <w:num w:numId="9">
    <w:abstractNumId w:val="33"/>
  </w:num>
  <w:num w:numId="10">
    <w:abstractNumId w:val="22"/>
  </w:num>
  <w:num w:numId="11">
    <w:abstractNumId w:val="34"/>
  </w:num>
  <w:num w:numId="12">
    <w:abstractNumId w:val="26"/>
  </w:num>
  <w:num w:numId="13">
    <w:abstractNumId w:val="8"/>
  </w:num>
  <w:num w:numId="14">
    <w:abstractNumId w:val="21"/>
  </w:num>
  <w:num w:numId="15">
    <w:abstractNumId w:val="13"/>
  </w:num>
  <w:num w:numId="16">
    <w:abstractNumId w:val="16"/>
  </w:num>
  <w:num w:numId="17">
    <w:abstractNumId w:val="7"/>
  </w:num>
  <w:num w:numId="18">
    <w:abstractNumId w:val="6"/>
  </w:num>
  <w:num w:numId="19">
    <w:abstractNumId w:val="40"/>
  </w:num>
  <w:num w:numId="20">
    <w:abstractNumId w:val="28"/>
  </w:num>
  <w:num w:numId="21">
    <w:abstractNumId w:val="20"/>
  </w:num>
  <w:num w:numId="22">
    <w:abstractNumId w:val="27"/>
  </w:num>
  <w:num w:numId="23">
    <w:abstractNumId w:val="42"/>
  </w:num>
  <w:num w:numId="24">
    <w:abstractNumId w:val="5"/>
  </w:num>
  <w:num w:numId="25">
    <w:abstractNumId w:val="38"/>
  </w:num>
  <w:num w:numId="26">
    <w:abstractNumId w:val="15"/>
  </w:num>
  <w:num w:numId="27">
    <w:abstractNumId w:val="1"/>
  </w:num>
  <w:num w:numId="28">
    <w:abstractNumId w:val="23"/>
  </w:num>
  <w:num w:numId="29">
    <w:abstractNumId w:val="36"/>
  </w:num>
  <w:num w:numId="30">
    <w:abstractNumId w:val="2"/>
  </w:num>
  <w:num w:numId="31">
    <w:abstractNumId w:val="35"/>
  </w:num>
  <w:num w:numId="32">
    <w:abstractNumId w:val="29"/>
  </w:num>
  <w:num w:numId="33">
    <w:abstractNumId w:val="14"/>
  </w:num>
  <w:num w:numId="34">
    <w:abstractNumId w:val="11"/>
  </w:num>
  <w:num w:numId="35">
    <w:abstractNumId w:val="32"/>
  </w:num>
  <w:num w:numId="36">
    <w:abstractNumId w:val="41"/>
  </w:num>
  <w:num w:numId="37">
    <w:abstractNumId w:val="39"/>
  </w:num>
  <w:num w:numId="38">
    <w:abstractNumId w:val="37"/>
  </w:num>
  <w:num w:numId="39">
    <w:abstractNumId w:val="30"/>
  </w:num>
  <w:num w:numId="40">
    <w:abstractNumId w:val="17"/>
  </w:num>
  <w:num w:numId="41">
    <w:abstractNumId w:val="43"/>
  </w:num>
  <w:num w:numId="42">
    <w:abstractNumId w:val="0"/>
  </w:num>
  <w:num w:numId="43">
    <w:abstractNumId w:val="19"/>
  </w:num>
  <w:num w:numId="4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340"/>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2"/>
  </w:compat>
  <w:docVars>
    <w:docVar w:name="Classification" w:val="For Official Use"/>
    <w:docVar w:name="DocumentStyle" w:val="General Narrative"/>
    <w:docVar w:name="IsPublication" w:val="1"/>
    <w:docVar w:name="Language" w:val="French"/>
    <w:docVar w:name="PaperSize" w:val="typeset"/>
    <w:docVar w:name="PGLANDSCAPE" w:val="0"/>
    <w:docVar w:name="PublicationType" w:val="typeset"/>
  </w:docVars>
  <w:rsids>
    <w:rsidRoot w:val="00C442A2"/>
    <w:rsid w:val="00043A04"/>
    <w:rsid w:val="000748AA"/>
    <w:rsid w:val="00075A6C"/>
    <w:rsid w:val="00080441"/>
    <w:rsid w:val="00123AD1"/>
    <w:rsid w:val="00125645"/>
    <w:rsid w:val="00143B22"/>
    <w:rsid w:val="001C07B9"/>
    <w:rsid w:val="00205BBA"/>
    <w:rsid w:val="002A6ED9"/>
    <w:rsid w:val="002B02E7"/>
    <w:rsid w:val="002E7A14"/>
    <w:rsid w:val="0030014E"/>
    <w:rsid w:val="003524DE"/>
    <w:rsid w:val="003A4CF3"/>
    <w:rsid w:val="004A2D61"/>
    <w:rsid w:val="004D7277"/>
    <w:rsid w:val="004E1B8E"/>
    <w:rsid w:val="00565A8C"/>
    <w:rsid w:val="005D0C2E"/>
    <w:rsid w:val="007C1498"/>
    <w:rsid w:val="00821336"/>
    <w:rsid w:val="00925D11"/>
    <w:rsid w:val="009271E4"/>
    <w:rsid w:val="00964BDA"/>
    <w:rsid w:val="00A5069D"/>
    <w:rsid w:val="00A520D3"/>
    <w:rsid w:val="00A75C11"/>
    <w:rsid w:val="00AF4353"/>
    <w:rsid w:val="00B47007"/>
    <w:rsid w:val="00B728D3"/>
    <w:rsid w:val="00BC66D4"/>
    <w:rsid w:val="00C328FC"/>
    <w:rsid w:val="00C442A2"/>
    <w:rsid w:val="00CA3902"/>
    <w:rsid w:val="00CC5526"/>
    <w:rsid w:val="00D17AD5"/>
    <w:rsid w:val="00D86DE7"/>
    <w:rsid w:val="00DA2076"/>
    <w:rsid w:val="00DA2884"/>
    <w:rsid w:val="00E15818"/>
    <w:rsid w:val="00F83535"/>
    <w:rsid w:val="00FA6768"/>
    <w:rsid w:val="00FC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B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qFormat="1"/>
    <w:lsdException w:name="toc 4" w:semiHidden="0" w:qFormat="1"/>
    <w:lsdException w:name="toc 5" w:semiHidden="0" w:qFormat="1"/>
    <w:lsdException w:name="toc 6" w:semiHidden="0" w:qFormat="1"/>
    <w:lsdException w:name="toc 7" w:semiHidden="0" w:qFormat="1"/>
    <w:lsdException w:name="toc 8" w:semiHidden="0" w:qFormat="1"/>
    <w:lsdException w:name="toc 9" w:semiHidden="0" w:qFormat="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iPriority="99" w:unhideWhenUsed="1"/>
    <w:lsdException w:name="page number" w:uiPriority="99" w:unhideWhenUsed="1"/>
    <w:lsdException w:name="endnote reference" w:uiPriority="99"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99"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iPriority="99" w:unhideWhenUsed="1"/>
    <w:lsdException w:name="HTML Address" w:unhideWhenUsed="1"/>
    <w:lsdException w:name="HTML Cite" w:uiPriority="99" w:unhideWhenUsed="1"/>
    <w:lsdException w:name="HTML Code" w:uiPriority="99" w:unhideWhenUsed="1"/>
    <w:lsdException w:name="HTML Definition" w:uiPriority="99" w:unhideWhenUsed="1"/>
    <w:lsdException w:name="HTML Keyboard" w:uiPriority="99" w:unhideWhenUsed="1"/>
    <w:lsdException w:name="HTML Preformatted" w:unhideWhenUsed="1"/>
    <w:lsdException w:name="HTML Sample" w:uiPriority="99" w:unhideWhenUsed="1"/>
    <w:lsdException w:name="HTML Typewriter" w:uiPriority="99" w:unhideWhenUsed="1"/>
    <w:lsdException w:name="HTML Variable" w:uiPriority="99"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unhideWhenUsed="1"/>
    <w:lsdException w:name="Table Grid" w:semiHidden="0" w:uiPriority="59"/>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tabs>
        <w:tab w:val="left" w:pos="850"/>
        <w:tab w:val="left" w:pos="1191"/>
        <w:tab w:val="left" w:pos="1531"/>
      </w:tabs>
      <w:jc w:val="both"/>
    </w:pPr>
    <w:rPr>
      <w:sz w:val="22"/>
      <w:szCs w:val="22"/>
      <w:lang w:val="fr-FR" w:eastAsia="zh-CN"/>
    </w:rPr>
  </w:style>
  <w:style w:type="paragraph" w:styleId="Heading1">
    <w:name w:val="heading 1"/>
    <w:basedOn w:val="Normal"/>
    <w:next w:val="Num-DocParagraph"/>
    <w:qFormat/>
    <w:pPr>
      <w:keepNext/>
      <w:spacing w:before="1200" w:after="720"/>
      <w:jc w:val="center"/>
      <w:outlineLvl w:val="0"/>
    </w:pPr>
    <w:rPr>
      <w:b/>
      <w:bCs/>
      <w:caps/>
      <w:kern w:val="28"/>
    </w:rPr>
  </w:style>
  <w:style w:type="paragraph" w:styleId="Heading2">
    <w:name w:val="heading 2"/>
    <w:basedOn w:val="Normal"/>
    <w:next w:val="Num-DocParagraph"/>
    <w:qFormat/>
    <w:pPr>
      <w:keepNext/>
      <w:spacing w:before="240" w:after="240"/>
      <w:outlineLvl w:val="1"/>
    </w:pPr>
    <w:rPr>
      <w:b/>
      <w:bCs/>
    </w:rPr>
  </w:style>
  <w:style w:type="paragraph" w:styleId="Heading3">
    <w:name w:val="heading 3"/>
    <w:basedOn w:val="Normal"/>
    <w:next w:val="Num-DocParagraph"/>
    <w:qFormat/>
    <w:pPr>
      <w:keepNext/>
      <w:spacing w:before="240" w:after="240"/>
      <w:outlineLvl w:val="2"/>
    </w:pPr>
    <w:rPr>
      <w:b/>
      <w:bCs/>
      <w:i/>
      <w:iCs/>
    </w:rPr>
  </w:style>
  <w:style w:type="paragraph" w:styleId="Heading4">
    <w:name w:val="heading 4"/>
    <w:basedOn w:val="Normal"/>
    <w:next w:val="Num-DocParagraph"/>
    <w:qFormat/>
    <w:pPr>
      <w:keepNext/>
      <w:spacing w:before="240" w:after="240"/>
      <w:outlineLvl w:val="3"/>
    </w:pPr>
    <w:rPr>
      <w:i/>
      <w:iCs/>
    </w:rPr>
  </w:style>
  <w:style w:type="paragraph" w:styleId="Heading5">
    <w:name w:val="heading 5"/>
    <w:basedOn w:val="Normal"/>
    <w:next w:val="Num-DocParagraph"/>
    <w:qFormat/>
    <w:pPr>
      <w:spacing w:before="240" w:after="240"/>
      <w:outlineLvl w:val="4"/>
    </w:p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BodyText"/>
    <w:pPr>
      <w:keepNext/>
      <w:spacing w:before="1200" w:after="720"/>
      <w:jc w:val="center"/>
    </w:pPr>
    <w:rPr>
      <w:b/>
      <w:bCs/>
      <w:caps/>
    </w:rPr>
  </w:style>
  <w:style w:type="paragraph" w:styleId="BodyText">
    <w:name w:val="Body Text"/>
    <w:basedOn w:val="Normal"/>
    <w:pPr>
      <w:spacing w:after="240"/>
      <w:ind w:firstLine="442"/>
    </w:pPr>
  </w:style>
  <w:style w:type="paragraph" w:customStyle="1" w:styleId="Annotation">
    <w:name w:val="Annotation"/>
    <w:basedOn w:val="BodyText"/>
    <w:pPr>
      <w:ind w:firstLine="0"/>
      <w:jc w:val="left"/>
    </w:pPr>
    <w:rPr>
      <w:b/>
      <w:bCs/>
      <w:i/>
      <w:iCs/>
    </w:rPr>
  </w:style>
  <w:style w:type="paragraph" w:customStyle="1" w:styleId="AppendixHeading">
    <w:name w:val="Appendix Heading"/>
    <w:basedOn w:val="Normal"/>
    <w:next w:val="BodyText"/>
    <w:pPr>
      <w:keepNext/>
      <w:spacing w:before="1200" w:after="720"/>
      <w:jc w:val="center"/>
    </w:pPr>
    <w:rPr>
      <w:b/>
      <w:bCs/>
      <w:caps/>
    </w:rPr>
  </w:style>
  <w:style w:type="paragraph" w:customStyle="1" w:styleId="Biblio-Entry">
    <w:name w:val="Biblio-Entry"/>
    <w:basedOn w:val="BodyText"/>
    <w:pPr>
      <w:ind w:left="567" w:hanging="567"/>
      <w:jc w:val="left"/>
    </w:pPr>
  </w:style>
  <w:style w:type="paragraph" w:customStyle="1" w:styleId="BibliographyHeading">
    <w:name w:val="Bibliography Heading"/>
    <w:basedOn w:val="Normal"/>
    <w:next w:val="Biblio-Entry"/>
    <w:pPr>
      <w:keepNext/>
      <w:spacing w:before="1200" w:after="720"/>
      <w:jc w:val="center"/>
    </w:pPr>
    <w:rPr>
      <w:b/>
      <w:bCs/>
      <w:caps/>
    </w:rPr>
  </w:style>
  <w:style w:type="paragraph" w:customStyle="1" w:styleId="BoxHeading">
    <w:name w:val="Box Heading"/>
    <w:basedOn w:val="Normal"/>
    <w:next w:val="BoxBodyText"/>
    <w:pPr>
      <w:spacing w:before="240" w:after="240"/>
      <w:jc w:val="center"/>
    </w:pPr>
    <w:rPr>
      <w:rFonts w:ascii="Arial" w:hAnsi="Arial" w:cs="Arial"/>
      <w:b/>
      <w:bCs/>
      <w:sz w:val="18"/>
    </w:rPr>
  </w:style>
  <w:style w:type="paragraph" w:customStyle="1" w:styleId="Cell">
    <w:name w:val="Cell"/>
    <w:basedOn w:val="Normal"/>
    <w:pPr>
      <w:tabs>
        <w:tab w:val="clear" w:pos="850"/>
        <w:tab w:val="clear" w:pos="1191"/>
        <w:tab w:val="clear" w:pos="1531"/>
      </w:tabs>
      <w:jc w:val="left"/>
    </w:pPr>
    <w:rPr>
      <w:rFonts w:ascii="Arial" w:hAnsi="Arial" w:cs="Arial"/>
      <w:sz w:val="18"/>
      <w:szCs w:val="18"/>
    </w:rPr>
  </w:style>
  <w:style w:type="paragraph" w:customStyle="1" w:styleId="ColumnsHeading">
    <w:name w:val="Columns Heading"/>
    <w:basedOn w:val="Normal"/>
    <w:pPr>
      <w:tabs>
        <w:tab w:val="clear" w:pos="850"/>
        <w:tab w:val="clear" w:pos="1191"/>
        <w:tab w:val="clear" w:pos="1531"/>
      </w:tabs>
      <w:jc w:val="center"/>
    </w:pPr>
    <w:rPr>
      <w:rFonts w:ascii="Arial" w:hAnsi="Arial" w:cs="Arial"/>
      <w:sz w:val="18"/>
      <w:szCs w:val="18"/>
    </w:rPr>
  </w:style>
  <w:style w:type="paragraph" w:customStyle="1" w:styleId="ConclusionHeading">
    <w:name w:val="Conclusion Heading"/>
    <w:basedOn w:val="Normal"/>
    <w:next w:val="BodyText"/>
    <w:pPr>
      <w:keepNext/>
      <w:spacing w:before="1200" w:after="720"/>
      <w:jc w:val="center"/>
    </w:pPr>
    <w:rPr>
      <w:b/>
      <w:bCs/>
      <w:caps/>
    </w:rPr>
  </w:style>
  <w:style w:type="paragraph" w:customStyle="1" w:styleId="DefinitionList">
    <w:name w:val="Definition List"/>
    <w:basedOn w:val="BodyText"/>
    <w:pPr>
      <w:tabs>
        <w:tab w:val="clear" w:pos="850"/>
        <w:tab w:val="clear" w:pos="1191"/>
        <w:tab w:val="clear" w:pos="1531"/>
      </w:tabs>
      <w:ind w:left="1984" w:hanging="1984"/>
      <w:jc w:val="center"/>
    </w:pPr>
  </w:style>
  <w:style w:type="paragraph" w:styleId="EndnoteText">
    <w:name w:val="endnote text"/>
    <w:basedOn w:val="Normal"/>
    <w:semiHidden/>
    <w:pPr>
      <w:spacing w:after="240"/>
      <w:ind w:left="850" w:hanging="850"/>
    </w:pPr>
    <w:rPr>
      <w:sz w:val="20"/>
      <w:szCs w:val="20"/>
    </w:rPr>
  </w:style>
  <w:style w:type="paragraph" w:customStyle="1" w:styleId="EndnotesHeading">
    <w:name w:val="Endnotes Heading"/>
    <w:basedOn w:val="Normal"/>
    <w:next w:val="BodyText"/>
    <w:pPr>
      <w:keepNext/>
      <w:spacing w:before="1200" w:after="480"/>
      <w:jc w:val="center"/>
    </w:pPr>
    <w:rPr>
      <w:b/>
      <w:bCs/>
      <w:caps/>
    </w:rPr>
  </w:style>
  <w:style w:type="paragraph" w:customStyle="1" w:styleId="ExecutiveSummaryHeading">
    <w:name w:val="Executive Summary Heading"/>
    <w:basedOn w:val="Normal"/>
    <w:next w:val="BodyText"/>
    <w:pPr>
      <w:keepNext/>
      <w:spacing w:before="1200" w:after="720"/>
      <w:jc w:val="center"/>
    </w:pPr>
    <w:rPr>
      <w:b/>
      <w:bCs/>
      <w:caps/>
    </w:rPr>
  </w:style>
  <w:style w:type="paragraph" w:customStyle="1" w:styleId="FigureNote">
    <w:name w:val="Figure Note"/>
    <w:basedOn w:val="Normal"/>
    <w:pPr>
      <w:spacing w:after="120"/>
    </w:pPr>
    <w:rPr>
      <w:rFonts w:ascii="Arial" w:hAnsi="Arial" w:cs="Arial"/>
      <w:sz w:val="16"/>
      <w:szCs w:val="18"/>
    </w:rPr>
  </w:style>
  <w:style w:type="paragraph" w:customStyle="1" w:styleId="FigureSub-title">
    <w:name w:val="Figure Sub-title"/>
    <w:basedOn w:val="Normal"/>
    <w:pPr>
      <w:keepNext/>
      <w:spacing w:after="120"/>
      <w:jc w:val="center"/>
    </w:pPr>
    <w:rPr>
      <w:rFonts w:ascii="Arial" w:hAnsi="Arial" w:cs="Arial"/>
      <w:sz w:val="18"/>
    </w:rPr>
  </w:style>
  <w:style w:type="paragraph" w:customStyle="1" w:styleId="FigureTitle">
    <w:name w:val="Figure Title"/>
    <w:basedOn w:val="Normal"/>
    <w:next w:val="FigureSub-title"/>
    <w:pPr>
      <w:keepNext/>
      <w:spacing w:after="240"/>
      <w:jc w:val="center"/>
    </w:pPr>
    <w:rPr>
      <w:rFonts w:ascii="Arial" w:hAnsi="Arial" w:cs="Arial"/>
      <w:b/>
      <w:bCs/>
      <w:sz w:val="1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20"/>
      <w:ind w:left="850" w:hanging="850"/>
    </w:pPr>
    <w:rPr>
      <w:sz w:val="20"/>
      <w:szCs w:val="20"/>
    </w:rPr>
  </w:style>
  <w:style w:type="paragraph" w:customStyle="1" w:styleId="ForewordHeading">
    <w:name w:val="Foreword Heading"/>
    <w:basedOn w:val="Normal"/>
    <w:next w:val="BodyText"/>
    <w:pPr>
      <w:keepNext/>
      <w:spacing w:before="1200" w:after="720"/>
      <w:jc w:val="center"/>
    </w:pPr>
    <w:rPr>
      <w:b/>
      <w:bCs/>
      <w:caps/>
    </w:rPr>
  </w:style>
  <w:style w:type="paragraph" w:customStyle="1" w:styleId="GlossaryHeading">
    <w:name w:val="Glossary Heading"/>
    <w:basedOn w:val="Normal"/>
    <w:next w:val="BodyText"/>
    <w:pPr>
      <w:keepNext/>
      <w:spacing w:before="1200" w:after="720"/>
      <w:jc w:val="center"/>
    </w:pPr>
    <w:rPr>
      <w:b/>
      <w:bCs/>
      <w:caps/>
    </w:rPr>
  </w:style>
  <w:style w:type="paragraph" w:customStyle="1" w:styleId="Graphic">
    <w:name w:val="Graphic"/>
    <w:basedOn w:val="Normal"/>
    <w:next w:val="BodyText"/>
    <w:pPr>
      <w:spacing w:after="240"/>
      <w:jc w:val="center"/>
    </w:pPr>
  </w:style>
  <w:style w:type="paragraph" w:customStyle="1" w:styleId="HiddenText">
    <w:name w:val="Hidden Text"/>
    <w:basedOn w:val="BodyText"/>
    <w:pPr>
      <w:keepNext/>
      <w:spacing w:after="0"/>
      <w:ind w:left="442" w:firstLine="0"/>
    </w:pPr>
    <w:rPr>
      <w:sz w:val="2"/>
      <w:szCs w:val="2"/>
    </w:rPr>
  </w:style>
  <w:style w:type="paragraph" w:customStyle="1" w:styleId="Highlight">
    <w:name w:val="Highlight"/>
    <w:basedOn w:val="BodyText"/>
    <w:pPr>
      <w:ind w:left="442" w:firstLine="0"/>
    </w:pPr>
    <w:rPr>
      <w:i/>
      <w:iCs/>
    </w:rPr>
  </w:style>
  <w:style w:type="paragraph" w:customStyle="1" w:styleId="HighlightHeading">
    <w:name w:val="Highlight Heading"/>
    <w:basedOn w:val="Normal"/>
    <w:next w:val="BodyText"/>
    <w:pPr>
      <w:keepNext/>
      <w:spacing w:before="1200" w:after="720"/>
      <w:jc w:val="center"/>
    </w:pPr>
    <w:rPr>
      <w:b/>
      <w:bCs/>
      <w:caps/>
    </w:rPr>
  </w:style>
  <w:style w:type="paragraph" w:styleId="Index1">
    <w:name w:val="index 1"/>
    <w:basedOn w:val="Normal"/>
    <w:next w:val="Normal"/>
    <w:semiHidden/>
    <w:pPr>
      <w:ind w:left="220" w:hanging="220"/>
    </w:pPr>
  </w:style>
  <w:style w:type="paragraph" w:styleId="IndexHeading">
    <w:name w:val="index heading"/>
    <w:basedOn w:val="Normal"/>
    <w:next w:val="BodyText"/>
    <w:semiHidden/>
    <w:pPr>
      <w:keepNext/>
      <w:spacing w:before="1200" w:after="720"/>
      <w:jc w:val="center"/>
    </w:pPr>
    <w:rPr>
      <w:b/>
      <w:bCs/>
      <w:caps/>
    </w:rPr>
  </w:style>
  <w:style w:type="paragraph" w:customStyle="1" w:styleId="IntroductionHeading">
    <w:name w:val="Introduction Heading"/>
    <w:basedOn w:val="Normal"/>
    <w:next w:val="BodyText"/>
    <w:pPr>
      <w:keepNext/>
      <w:spacing w:before="1200" w:after="720"/>
      <w:jc w:val="center"/>
    </w:pPr>
    <w:rPr>
      <w:b/>
      <w:bCs/>
      <w:caps/>
    </w:rPr>
  </w:style>
  <w:style w:type="paragraph" w:styleId="List">
    <w:name w:val="List"/>
    <w:basedOn w:val="Normal"/>
    <w:pPr>
      <w:spacing w:after="240"/>
      <w:ind w:left="850" w:hanging="283"/>
    </w:pPr>
  </w:style>
  <w:style w:type="paragraph" w:styleId="List2">
    <w:name w:val="List 2"/>
    <w:basedOn w:val="Normal"/>
    <w:pPr>
      <w:spacing w:after="240"/>
      <w:ind w:left="1134" w:hanging="283"/>
    </w:pPr>
  </w:style>
  <w:style w:type="paragraph" w:styleId="List3">
    <w:name w:val="List 3"/>
    <w:basedOn w:val="Normal"/>
    <w:pPr>
      <w:spacing w:after="240"/>
      <w:ind w:left="1417" w:hanging="283"/>
    </w:pPr>
  </w:style>
  <w:style w:type="paragraph" w:styleId="List4">
    <w:name w:val="List 4"/>
    <w:basedOn w:val="Normal"/>
    <w:pPr>
      <w:spacing w:after="240"/>
      <w:ind w:left="1701" w:hanging="283"/>
    </w:pPr>
  </w:style>
  <w:style w:type="paragraph" w:styleId="List5">
    <w:name w:val="List 5"/>
    <w:basedOn w:val="Normal"/>
    <w:pPr>
      <w:spacing w:after="240"/>
      <w:ind w:left="1984" w:hanging="283"/>
    </w:pPr>
  </w:style>
  <w:style w:type="paragraph" w:styleId="ListBullet">
    <w:name w:val="List Bullet"/>
    <w:basedOn w:val="Normal"/>
    <w:pPr>
      <w:numPr>
        <w:numId w:val="5"/>
      </w:numPr>
      <w:tabs>
        <w:tab w:val="clear" w:pos="1191"/>
        <w:tab w:val="clear" w:pos="1531"/>
      </w:tabs>
      <w:spacing w:after="240"/>
    </w:pPr>
  </w:style>
  <w:style w:type="paragraph" w:styleId="ListBullet2">
    <w:name w:val="List Bullet 2"/>
    <w:basedOn w:val="Normal"/>
    <w:pPr>
      <w:numPr>
        <w:numId w:val="6"/>
      </w:numPr>
      <w:tabs>
        <w:tab w:val="clear" w:pos="850"/>
        <w:tab w:val="clear" w:pos="1531"/>
      </w:tabs>
      <w:spacing w:after="240"/>
    </w:pPr>
  </w:style>
  <w:style w:type="paragraph" w:styleId="ListBullet3">
    <w:name w:val="List Bullet 3"/>
    <w:basedOn w:val="Normal"/>
    <w:pPr>
      <w:numPr>
        <w:numId w:val="7"/>
      </w:numPr>
      <w:tabs>
        <w:tab w:val="clear" w:pos="850"/>
        <w:tab w:val="clear" w:pos="1191"/>
        <w:tab w:val="clear" w:pos="1531"/>
      </w:tabs>
      <w:spacing w:after="240"/>
    </w:pPr>
  </w:style>
  <w:style w:type="paragraph" w:styleId="ListBullet4">
    <w:name w:val="List Bullet 4"/>
    <w:basedOn w:val="Normal"/>
    <w:pPr>
      <w:numPr>
        <w:numId w:val="8"/>
      </w:numPr>
      <w:tabs>
        <w:tab w:val="clear" w:pos="850"/>
        <w:tab w:val="clear" w:pos="1191"/>
        <w:tab w:val="clear" w:pos="1531"/>
      </w:tabs>
      <w:spacing w:after="240"/>
    </w:pPr>
  </w:style>
  <w:style w:type="paragraph" w:styleId="ListBullet5">
    <w:name w:val="List Bullet 5"/>
    <w:basedOn w:val="Normal"/>
    <w:pPr>
      <w:numPr>
        <w:numId w:val="9"/>
      </w:numPr>
      <w:tabs>
        <w:tab w:val="clear" w:pos="850"/>
        <w:tab w:val="clear" w:pos="1191"/>
        <w:tab w:val="clear" w:pos="1531"/>
      </w:tabs>
      <w:spacing w:after="240"/>
    </w:pPr>
  </w:style>
  <w:style w:type="paragraph" w:styleId="ListContinue">
    <w:name w:val="List Continue"/>
    <w:basedOn w:val="Normal"/>
    <w:pPr>
      <w:tabs>
        <w:tab w:val="clear" w:pos="850"/>
        <w:tab w:val="clear" w:pos="1191"/>
        <w:tab w:val="clear" w:pos="1531"/>
      </w:tabs>
      <w:spacing w:after="240"/>
      <w:ind w:left="850"/>
    </w:pPr>
  </w:style>
  <w:style w:type="paragraph" w:styleId="ListContinue2">
    <w:name w:val="List Continue 2"/>
    <w:basedOn w:val="Normal"/>
    <w:pPr>
      <w:tabs>
        <w:tab w:val="clear" w:pos="850"/>
        <w:tab w:val="clear" w:pos="1191"/>
        <w:tab w:val="clear" w:pos="1531"/>
      </w:tabs>
      <w:spacing w:after="240"/>
      <w:ind w:left="1191"/>
    </w:pPr>
  </w:style>
  <w:style w:type="paragraph" w:styleId="ListContinue3">
    <w:name w:val="List Continue 3"/>
    <w:basedOn w:val="Normal"/>
    <w:pPr>
      <w:tabs>
        <w:tab w:val="clear" w:pos="850"/>
        <w:tab w:val="clear" w:pos="1191"/>
        <w:tab w:val="clear" w:pos="1531"/>
      </w:tabs>
      <w:spacing w:after="240"/>
      <w:ind w:left="1474"/>
    </w:pPr>
  </w:style>
  <w:style w:type="paragraph" w:styleId="ListContinue4">
    <w:name w:val="List Continue 4"/>
    <w:basedOn w:val="Normal"/>
    <w:pPr>
      <w:tabs>
        <w:tab w:val="clear" w:pos="850"/>
        <w:tab w:val="clear" w:pos="1191"/>
        <w:tab w:val="clear" w:pos="1531"/>
      </w:tabs>
      <w:spacing w:after="240"/>
      <w:ind w:left="1757"/>
    </w:pPr>
  </w:style>
  <w:style w:type="paragraph" w:styleId="ListContinue5">
    <w:name w:val="List Continue 5"/>
    <w:basedOn w:val="Normal"/>
    <w:pPr>
      <w:tabs>
        <w:tab w:val="clear" w:pos="850"/>
        <w:tab w:val="clear" w:pos="1191"/>
        <w:tab w:val="clear" w:pos="1531"/>
      </w:tabs>
      <w:spacing w:after="240"/>
      <w:ind w:left="2041"/>
    </w:pPr>
  </w:style>
  <w:style w:type="paragraph" w:styleId="ListNumber">
    <w:name w:val="List Number"/>
    <w:basedOn w:val="Normal"/>
    <w:pPr>
      <w:numPr>
        <w:numId w:val="10"/>
      </w:numPr>
      <w:tabs>
        <w:tab w:val="clear" w:pos="1191"/>
        <w:tab w:val="clear" w:pos="1531"/>
        <w:tab w:val="left" w:pos="1134"/>
      </w:tabs>
      <w:spacing w:after="240"/>
    </w:pPr>
  </w:style>
  <w:style w:type="paragraph" w:styleId="ListNumber2">
    <w:name w:val="List Number 2"/>
    <w:basedOn w:val="Normal"/>
    <w:pPr>
      <w:numPr>
        <w:ilvl w:val="1"/>
        <w:numId w:val="10"/>
      </w:numPr>
      <w:tabs>
        <w:tab w:val="clear" w:pos="850"/>
        <w:tab w:val="clear" w:pos="1531"/>
        <w:tab w:val="left" w:pos="1417"/>
      </w:tabs>
      <w:spacing w:after="240"/>
    </w:pPr>
  </w:style>
  <w:style w:type="paragraph" w:styleId="ListNumber3">
    <w:name w:val="List Number 3"/>
    <w:basedOn w:val="Normal"/>
    <w:pPr>
      <w:numPr>
        <w:ilvl w:val="2"/>
        <w:numId w:val="10"/>
      </w:numPr>
      <w:tabs>
        <w:tab w:val="clear" w:pos="850"/>
        <w:tab w:val="clear" w:pos="1191"/>
        <w:tab w:val="clear" w:pos="1531"/>
        <w:tab w:val="left" w:pos="1701"/>
      </w:tabs>
      <w:spacing w:after="240"/>
    </w:pPr>
  </w:style>
  <w:style w:type="paragraph" w:styleId="ListNumber4">
    <w:name w:val="List Number 4"/>
    <w:basedOn w:val="Normal"/>
    <w:pPr>
      <w:numPr>
        <w:ilvl w:val="3"/>
        <w:numId w:val="10"/>
      </w:numPr>
      <w:tabs>
        <w:tab w:val="clear" w:pos="850"/>
        <w:tab w:val="clear" w:pos="1191"/>
        <w:tab w:val="clear" w:pos="1531"/>
        <w:tab w:val="left" w:pos="1984"/>
      </w:tabs>
      <w:spacing w:after="240"/>
    </w:pPr>
  </w:style>
  <w:style w:type="paragraph" w:styleId="ListNumber5">
    <w:name w:val="List Number 5"/>
    <w:basedOn w:val="Normal"/>
    <w:pPr>
      <w:numPr>
        <w:ilvl w:val="4"/>
        <w:numId w:val="10"/>
      </w:numPr>
      <w:tabs>
        <w:tab w:val="clear" w:pos="850"/>
        <w:tab w:val="clear" w:pos="1191"/>
        <w:tab w:val="clear" w:pos="1531"/>
        <w:tab w:val="left" w:pos="2268"/>
      </w:tabs>
      <w:spacing w:after="240"/>
    </w:pPr>
  </w:style>
  <w:style w:type="paragraph" w:customStyle="1" w:styleId="Num-ChapParagraph">
    <w:name w:val="Num-Chap Paragraph"/>
    <w:basedOn w:val="BodyText"/>
    <w:pPr>
      <w:ind w:firstLine="0"/>
    </w:pPr>
  </w:style>
  <w:style w:type="paragraph" w:customStyle="1" w:styleId="Num-DocParagraph">
    <w:name w:val="Num-Doc Paragraph"/>
    <w:basedOn w:val="BodyText"/>
    <w:pPr>
      <w:ind w:firstLine="0"/>
    </w:pPr>
  </w:style>
  <w:style w:type="paragraph" w:customStyle="1" w:styleId="PartHeading">
    <w:name w:val="Part Heading"/>
    <w:basedOn w:val="Normal"/>
    <w:next w:val="BodyText"/>
    <w:pPr>
      <w:keepNext/>
      <w:spacing w:before="1200" w:after="720"/>
      <w:jc w:val="center"/>
    </w:pPr>
    <w:rPr>
      <w:b/>
      <w:bCs/>
      <w:caps/>
    </w:rPr>
  </w:style>
  <w:style w:type="paragraph" w:customStyle="1" w:styleId="RowsHeading">
    <w:name w:val="Rows Heading"/>
    <w:basedOn w:val="Normal"/>
    <w:pPr>
      <w:tabs>
        <w:tab w:val="clear" w:pos="850"/>
        <w:tab w:val="clear" w:pos="1191"/>
        <w:tab w:val="clear" w:pos="1531"/>
      </w:tabs>
      <w:jc w:val="left"/>
    </w:pPr>
    <w:rPr>
      <w:rFonts w:ascii="Arial" w:hAnsi="Arial" w:cs="Arial"/>
      <w:sz w:val="18"/>
      <w:szCs w:val="18"/>
    </w:rPr>
  </w:style>
  <w:style w:type="paragraph" w:customStyle="1" w:styleId="SourceDescription">
    <w:name w:val="Source Description"/>
    <w:basedOn w:val="Normal"/>
    <w:next w:val="BodyText"/>
    <w:pPr>
      <w:spacing w:after="360"/>
    </w:pPr>
    <w:rPr>
      <w:rFonts w:ascii="Arial" w:hAnsi="Arial" w:cs="Arial"/>
      <w:sz w:val="16"/>
      <w:szCs w:val="18"/>
    </w:rPr>
  </w:style>
  <w:style w:type="paragraph" w:customStyle="1" w:styleId="SubHeading">
    <w:name w:val="SubHeading"/>
    <w:basedOn w:val="BodyText"/>
    <w:pPr>
      <w:ind w:left="442" w:firstLine="0"/>
    </w:pPr>
    <w:rPr>
      <w:i/>
      <w:iCs/>
    </w:rPr>
  </w:style>
  <w:style w:type="paragraph" w:customStyle="1" w:styleId="SummaryHeading">
    <w:name w:val="Summary Heading"/>
    <w:basedOn w:val="Normal"/>
    <w:next w:val="BodyText"/>
    <w:pPr>
      <w:keepNext/>
      <w:spacing w:before="1200" w:after="720"/>
      <w:jc w:val="center"/>
    </w:pPr>
    <w:rPr>
      <w:b/>
      <w:bCs/>
      <w:caps/>
    </w:rPr>
  </w:style>
  <w:style w:type="paragraph" w:customStyle="1" w:styleId="Table">
    <w:name w:val="Table"/>
    <w:basedOn w:val="Normal"/>
    <w:next w:val="BodyText"/>
    <w:pPr>
      <w:spacing w:after="240"/>
      <w:jc w:val="center"/>
    </w:pPr>
  </w:style>
  <w:style w:type="paragraph" w:customStyle="1" w:styleId="TableNote">
    <w:name w:val="Table Note"/>
    <w:basedOn w:val="Normal"/>
    <w:pPr>
      <w:spacing w:after="120"/>
      <w:jc w:val="left"/>
    </w:pPr>
    <w:rPr>
      <w:rFonts w:ascii="Arial" w:hAnsi="Arial" w:cs="Arial"/>
      <w:sz w:val="16"/>
      <w:szCs w:val="18"/>
    </w:rPr>
  </w:style>
  <w:style w:type="paragraph" w:customStyle="1" w:styleId="TableofContentsHeading">
    <w:name w:val="Table of Contents Heading"/>
    <w:basedOn w:val="Normal"/>
    <w:next w:val="BodyText"/>
    <w:pPr>
      <w:keepNext/>
      <w:spacing w:before="1200" w:after="720"/>
      <w:jc w:val="center"/>
    </w:pPr>
    <w:rPr>
      <w:b/>
      <w:bCs/>
      <w:caps/>
    </w:rPr>
  </w:style>
  <w:style w:type="paragraph" w:customStyle="1" w:styleId="TableSub-title">
    <w:name w:val="Table Sub-title"/>
    <w:basedOn w:val="Normal"/>
    <w:pPr>
      <w:keepNext/>
      <w:spacing w:after="240"/>
      <w:jc w:val="center"/>
    </w:pPr>
    <w:rPr>
      <w:rFonts w:ascii="Arial" w:hAnsi="Arial" w:cs="Arial"/>
      <w:sz w:val="18"/>
    </w:rPr>
  </w:style>
  <w:style w:type="paragraph" w:customStyle="1" w:styleId="TableTitle">
    <w:name w:val="Table Title"/>
    <w:basedOn w:val="Normal"/>
    <w:pPr>
      <w:keepNext/>
      <w:spacing w:after="240"/>
      <w:jc w:val="center"/>
    </w:pPr>
    <w:rPr>
      <w:rFonts w:ascii="Arial" w:hAnsi="Arial" w:cs="Arial"/>
      <w:b/>
      <w:bCs/>
      <w:sz w:val="18"/>
    </w:rPr>
  </w:style>
  <w:style w:type="paragraph" w:customStyle="1" w:styleId="TextBox">
    <w:name w:val="Text Box"/>
    <w:basedOn w:val="BodyText"/>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pPr>
      <w:jc w:val="center"/>
    </w:pPr>
    <w:rPr>
      <w:b/>
      <w:bCs/>
    </w:rPr>
  </w:style>
  <w:style w:type="paragraph" w:styleId="TOC1">
    <w:name w:val="toc 1"/>
    <w:basedOn w:val="Normal"/>
    <w:next w:val="Normal"/>
    <w:uiPriority w:val="39"/>
    <w:qFormat/>
    <w:pPr>
      <w:tabs>
        <w:tab w:val="clear" w:pos="850"/>
        <w:tab w:val="clear" w:pos="1191"/>
        <w:tab w:val="clear" w:pos="1531"/>
        <w:tab w:val="right" w:leader="dot" w:pos="8504"/>
      </w:tabs>
      <w:spacing w:before="120" w:after="120"/>
    </w:pPr>
    <w:rPr>
      <w:caps/>
    </w:rPr>
  </w:style>
  <w:style w:type="paragraph" w:styleId="TOC2">
    <w:name w:val="toc 2"/>
    <w:basedOn w:val="Normal"/>
    <w:next w:val="Normal"/>
    <w:uiPriority w:val="39"/>
    <w:qFormat/>
    <w:pPr>
      <w:tabs>
        <w:tab w:val="clear" w:pos="850"/>
        <w:tab w:val="clear" w:pos="1191"/>
        <w:tab w:val="clear" w:pos="1531"/>
        <w:tab w:val="right" w:leader="dot" w:pos="8504"/>
      </w:tabs>
      <w:ind w:left="198"/>
    </w:pPr>
  </w:style>
  <w:style w:type="paragraph" w:styleId="TOC3">
    <w:name w:val="toc 3"/>
    <w:basedOn w:val="Normal"/>
    <w:next w:val="Normal"/>
    <w:qFormat/>
    <w:pPr>
      <w:tabs>
        <w:tab w:val="clear" w:pos="850"/>
        <w:tab w:val="clear" w:pos="1191"/>
        <w:tab w:val="clear" w:pos="1531"/>
        <w:tab w:val="right" w:leader="dot" w:pos="8504"/>
      </w:tabs>
      <w:ind w:left="397"/>
    </w:pPr>
  </w:style>
  <w:style w:type="paragraph" w:styleId="TOC4">
    <w:name w:val="toc 4"/>
    <w:basedOn w:val="Normal"/>
    <w:next w:val="Normal"/>
    <w:qFormat/>
    <w:pPr>
      <w:tabs>
        <w:tab w:val="clear" w:pos="850"/>
        <w:tab w:val="clear" w:pos="1191"/>
        <w:tab w:val="clear" w:pos="1531"/>
        <w:tab w:val="right" w:leader="dot" w:pos="8504"/>
      </w:tabs>
      <w:ind w:left="595"/>
    </w:pPr>
    <w:rPr>
      <w:noProof/>
    </w:rPr>
  </w:style>
  <w:style w:type="paragraph" w:styleId="TOC5">
    <w:name w:val="toc 5"/>
    <w:basedOn w:val="Normal"/>
    <w:next w:val="Normal"/>
    <w:qFormat/>
    <w:pPr>
      <w:tabs>
        <w:tab w:val="clear" w:pos="850"/>
        <w:tab w:val="clear" w:pos="1191"/>
        <w:tab w:val="clear" w:pos="1531"/>
        <w:tab w:val="right" w:leader="dot" w:pos="8504"/>
      </w:tabs>
      <w:ind w:left="794"/>
    </w:pPr>
    <w:rPr>
      <w:noProof/>
    </w:rPr>
  </w:style>
  <w:style w:type="paragraph" w:customStyle="1" w:styleId="IndexHeading1">
    <w:name w:val="Index Heading1"/>
    <w:basedOn w:val="Normal"/>
    <w:next w:val="BodyText"/>
    <w:pPr>
      <w:keepNext/>
      <w:spacing w:before="1200" w:after="720"/>
      <w:jc w:val="center"/>
    </w:pPr>
    <w:rPr>
      <w:b/>
      <w:caps/>
      <w:lang w:val="en-US"/>
    </w:rPr>
  </w:style>
  <w:style w:type="paragraph" w:styleId="BlockText">
    <w:name w:val="Block Text"/>
    <w:basedOn w:val="Normal"/>
    <w:pPr>
      <w:spacing w:after="120"/>
      <w:ind w:left="1440" w:right="1440"/>
    </w:pPr>
  </w:style>
  <w:style w:type="paragraph" w:styleId="TOC9">
    <w:name w:val="toc 9"/>
    <w:basedOn w:val="Normal"/>
    <w:next w:val="Normal"/>
    <w:qFormat/>
    <w:pPr>
      <w:tabs>
        <w:tab w:val="clear" w:pos="850"/>
        <w:tab w:val="clear" w:pos="1191"/>
        <w:tab w:val="clear" w:pos="1531"/>
      </w:tabs>
      <w:ind w:left="1760"/>
    </w:pPr>
  </w:style>
  <w:style w:type="paragraph" w:customStyle="1" w:styleId="Abstract">
    <w:name w:val="Abstract"/>
    <w:basedOn w:val="BodyText"/>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BodyText"/>
    <w:pPr>
      <w:ind w:firstLine="0"/>
    </w:pPr>
    <w:rPr>
      <w:lang w:val="en-US"/>
    </w:rPr>
  </w:style>
  <w:style w:type="paragraph" w:customStyle="1" w:styleId="Chart">
    <w:name w:val="Chart"/>
    <w:basedOn w:val="Normal"/>
    <w:next w:val="BodyText"/>
    <w:pPr>
      <w:spacing w:after="240"/>
      <w:jc w:val="center"/>
    </w:pPr>
    <w:rPr>
      <w:lang w:val="en-US"/>
    </w:rPr>
  </w:style>
  <w:style w:type="paragraph" w:customStyle="1" w:styleId="ChartSub-title">
    <w:name w:val="Chart Sub-title"/>
    <w:basedOn w:val="Normal"/>
    <w:pPr>
      <w:keepNext/>
      <w:spacing w:after="120"/>
      <w:jc w:val="center"/>
    </w:pPr>
    <w:rPr>
      <w:rFonts w:ascii="Arial" w:hAnsi="Arial" w:cs="Arial"/>
      <w:sz w:val="18"/>
      <w:lang w:val="en-US"/>
    </w:rPr>
  </w:style>
  <w:style w:type="paragraph" w:customStyle="1" w:styleId="ChartTitle">
    <w:name w:val="Chart Title"/>
    <w:basedOn w:val="Normal"/>
    <w:next w:val="ChartSub-title"/>
    <w:pPr>
      <w:keepNext/>
      <w:spacing w:after="240"/>
      <w:jc w:val="center"/>
    </w:pPr>
    <w:rPr>
      <w:rFonts w:ascii="Arial" w:hAnsi="Arial" w:cs="Arial"/>
      <w:b/>
      <w:sz w:val="18"/>
      <w:lang w:val="en-US"/>
    </w:rPr>
  </w:style>
  <w:style w:type="paragraph" w:customStyle="1" w:styleId="ChartNote">
    <w:name w:val="Chart Note"/>
    <w:basedOn w:val="Normal"/>
    <w:pPr>
      <w:spacing w:after="120"/>
      <w:jc w:val="left"/>
    </w:pPr>
    <w:rPr>
      <w:rFonts w:ascii="Arial" w:hAnsi="Arial" w:cs="Arial"/>
      <w:sz w:val="16"/>
      <w:lang w:val="en-US"/>
    </w:rPr>
  </w:style>
  <w:style w:type="paragraph" w:customStyle="1" w:styleId="BoxHeading2">
    <w:name w:val="Box Heading 2"/>
    <w:basedOn w:val="Normal"/>
    <w:next w:val="BoxBodyText"/>
    <w:pPr>
      <w:spacing w:before="240" w:after="240"/>
      <w:jc w:val="left"/>
    </w:pPr>
    <w:rPr>
      <w:rFonts w:ascii="Arial" w:hAnsi="Arial" w:cs="Arial"/>
      <w:b/>
      <w:sz w:val="18"/>
      <w:lang w:val="en-US"/>
    </w:rPr>
  </w:style>
  <w:style w:type="paragraph" w:customStyle="1" w:styleId="BoxHeading3">
    <w:name w:val="Box Heading 3"/>
    <w:basedOn w:val="Normal"/>
    <w:next w:val="BoxBodyText"/>
    <w:pPr>
      <w:spacing w:before="240" w:after="240"/>
      <w:jc w:val="left"/>
    </w:pPr>
    <w:rPr>
      <w:rFonts w:ascii="Arial" w:hAnsi="Arial" w:cs="Arial"/>
      <w:b/>
      <w:i/>
      <w:sz w:val="18"/>
      <w:lang w:val="en-US"/>
    </w:rPr>
  </w:style>
  <w:style w:type="paragraph" w:customStyle="1" w:styleId="BoxNote">
    <w:name w:val="Box Note"/>
    <w:basedOn w:val="Normal"/>
    <w:pPr>
      <w:tabs>
        <w:tab w:val="clear" w:pos="850"/>
        <w:tab w:val="clear" w:pos="1191"/>
        <w:tab w:val="clear" w:pos="1531"/>
        <w:tab w:val="left" w:pos="340"/>
      </w:tabs>
      <w:spacing w:after="120"/>
      <w:jc w:val="left"/>
    </w:pPr>
    <w:rPr>
      <w:rFonts w:ascii="Arial" w:hAnsi="Arial" w:cs="Arial"/>
      <w:sz w:val="18"/>
      <w:lang w:val="en-US"/>
    </w:rPr>
  </w:style>
  <w:style w:type="paragraph" w:customStyle="1" w:styleId="ListBulletBox">
    <w:name w:val="List Bullet Box"/>
    <w:basedOn w:val="Normal"/>
    <w:pPr>
      <w:numPr>
        <w:numId w:val="11"/>
      </w:numPr>
      <w:tabs>
        <w:tab w:val="clear" w:pos="1191"/>
        <w:tab w:val="clear" w:pos="1531"/>
      </w:tabs>
      <w:spacing w:after="240"/>
    </w:pPr>
    <w:rPr>
      <w:rFonts w:ascii="Arial" w:hAnsi="Arial" w:cs="Arial"/>
      <w:sz w:val="18"/>
      <w:lang w:val="en-US"/>
    </w:rPr>
  </w:style>
  <w:style w:type="paragraph" w:customStyle="1" w:styleId="ListBulletBox2">
    <w:name w:val="List Bullet Box 2"/>
    <w:basedOn w:val="Normal"/>
    <w:pPr>
      <w:numPr>
        <w:numId w:val="12"/>
      </w:numPr>
      <w:tabs>
        <w:tab w:val="clear" w:pos="850"/>
        <w:tab w:val="clear" w:pos="1531"/>
      </w:tabs>
      <w:spacing w:after="240"/>
    </w:pPr>
    <w:rPr>
      <w:rFonts w:ascii="Arial" w:hAnsi="Arial" w:cs="Arial"/>
      <w:sz w:val="18"/>
      <w:lang w:val="en-US"/>
    </w:rPr>
  </w:style>
  <w:style w:type="paragraph" w:customStyle="1" w:styleId="ListBulletBox3">
    <w:name w:val="List Bullet Box 3"/>
    <w:basedOn w:val="Normal"/>
    <w:pPr>
      <w:numPr>
        <w:numId w:val="13"/>
      </w:numPr>
      <w:tabs>
        <w:tab w:val="clear" w:pos="850"/>
        <w:tab w:val="clear" w:pos="1191"/>
        <w:tab w:val="clear" w:pos="1531"/>
      </w:tabs>
      <w:spacing w:after="240"/>
    </w:pPr>
    <w:rPr>
      <w:rFonts w:ascii="Arial" w:hAnsi="Arial" w:cs="Arial"/>
      <w:sz w:val="18"/>
      <w:lang w:val="en-US"/>
    </w:rPr>
  </w:style>
  <w:style w:type="paragraph" w:customStyle="1" w:styleId="ListNumberBox">
    <w:name w:val="List Number Box"/>
    <w:basedOn w:val="Normal"/>
    <w:pPr>
      <w:numPr>
        <w:numId w:val="14"/>
      </w:numPr>
      <w:tabs>
        <w:tab w:val="clear" w:pos="1191"/>
        <w:tab w:val="clear" w:pos="1531"/>
        <w:tab w:val="clear" w:pos="1950"/>
      </w:tabs>
      <w:spacing w:after="240"/>
      <w:ind w:left="850"/>
    </w:pPr>
    <w:rPr>
      <w:rFonts w:ascii="Arial" w:hAnsi="Arial" w:cs="Arial"/>
      <w:sz w:val="18"/>
      <w:lang w:val="en-US"/>
    </w:rPr>
  </w:style>
  <w:style w:type="paragraph" w:customStyle="1" w:styleId="ListNumberBox2">
    <w:name w:val="List Number Box 2"/>
    <w:basedOn w:val="Normal"/>
    <w:pPr>
      <w:numPr>
        <w:ilvl w:val="1"/>
        <w:numId w:val="14"/>
      </w:numPr>
      <w:tabs>
        <w:tab w:val="clear" w:pos="850"/>
        <w:tab w:val="clear" w:pos="1531"/>
        <w:tab w:val="clear" w:pos="2291"/>
      </w:tabs>
      <w:spacing w:after="240"/>
      <w:ind w:left="1191" w:hanging="340"/>
    </w:pPr>
    <w:rPr>
      <w:rFonts w:ascii="Arial" w:hAnsi="Arial" w:cs="Arial"/>
      <w:sz w:val="18"/>
      <w:lang w:val="en-US"/>
    </w:rPr>
  </w:style>
  <w:style w:type="paragraph" w:customStyle="1" w:styleId="ListNumberBox3">
    <w:name w:val="List Number Box 3"/>
    <w:basedOn w:val="Normal"/>
    <w:pPr>
      <w:numPr>
        <w:ilvl w:val="2"/>
        <w:numId w:val="14"/>
      </w:numPr>
      <w:tabs>
        <w:tab w:val="clear" w:pos="850"/>
        <w:tab w:val="clear" w:pos="1191"/>
        <w:tab w:val="clear" w:pos="1531"/>
        <w:tab w:val="clear" w:pos="2574"/>
        <w:tab w:val="left" w:pos="1474"/>
      </w:tabs>
      <w:spacing w:after="240"/>
      <w:ind w:left="1474"/>
    </w:pPr>
    <w:rPr>
      <w:rFonts w:ascii="Arial" w:hAnsi="Arial" w:cs="Arial"/>
      <w:sz w:val="18"/>
      <w:lang w:val="en-US"/>
    </w:rPr>
  </w:style>
  <w:style w:type="paragraph" w:customStyle="1" w:styleId="ListContinueBox">
    <w:name w:val="List Continue Box"/>
    <w:basedOn w:val="Normal"/>
    <w:pPr>
      <w:tabs>
        <w:tab w:val="clear" w:pos="850"/>
        <w:tab w:val="clear" w:pos="1191"/>
        <w:tab w:val="clear" w:pos="1531"/>
      </w:tabs>
      <w:spacing w:after="240"/>
      <w:ind w:left="850"/>
    </w:pPr>
    <w:rPr>
      <w:rFonts w:ascii="Arial" w:hAnsi="Arial" w:cs="Arial"/>
      <w:sz w:val="18"/>
      <w:lang w:val="en-US"/>
    </w:rPr>
  </w:style>
  <w:style w:type="paragraph" w:customStyle="1" w:styleId="ListContinueBox2">
    <w:name w:val="List Continue Box 2"/>
    <w:basedOn w:val="Normal"/>
    <w:pPr>
      <w:tabs>
        <w:tab w:val="clear" w:pos="850"/>
        <w:tab w:val="clear" w:pos="1191"/>
        <w:tab w:val="clear" w:pos="1531"/>
      </w:tabs>
      <w:spacing w:after="240"/>
      <w:ind w:left="1191"/>
    </w:pPr>
    <w:rPr>
      <w:rFonts w:ascii="Arial" w:hAnsi="Arial" w:cs="Arial"/>
      <w:sz w:val="18"/>
      <w:lang w:val="en-US"/>
    </w:rPr>
  </w:style>
  <w:style w:type="paragraph" w:customStyle="1" w:styleId="ListContinueBox3">
    <w:name w:val="List Continue Box 3"/>
    <w:basedOn w:val="Normal"/>
    <w:pPr>
      <w:tabs>
        <w:tab w:val="clear" w:pos="850"/>
        <w:tab w:val="clear" w:pos="1191"/>
        <w:tab w:val="clear" w:pos="1531"/>
      </w:tabs>
      <w:spacing w:after="240"/>
      <w:ind w:left="1474"/>
    </w:pPr>
    <w:rPr>
      <w:rFonts w:ascii="Arial" w:hAnsi="Arial" w:cs="Arial"/>
      <w:sz w:val="18"/>
      <w:lang w:val="en-US"/>
    </w:rPr>
  </w:style>
  <w:style w:type="paragraph" w:customStyle="1" w:styleId="BoxSource">
    <w:name w:val="Box Source"/>
    <w:basedOn w:val="Normal"/>
    <w:next w:val="BodyText"/>
    <w:pPr>
      <w:spacing w:after="360"/>
    </w:pPr>
    <w:rPr>
      <w:rFonts w:ascii="Arial" w:hAnsi="Arial" w:cs="Arial"/>
      <w:sz w:val="16"/>
      <w:lang w:val="en-US"/>
    </w:rPr>
  </w:style>
  <w:style w:type="character" w:customStyle="1" w:styleId="Cote">
    <w:name w:val="Cote"/>
    <w:basedOn w:val="DefaultParagraphFont"/>
    <w:rPr>
      <w:caps/>
      <w:smallCaps w:val="0"/>
      <w:lang w:val="en-US"/>
    </w:rPr>
  </w:style>
  <w:style w:type="numbering" w:customStyle="1" w:styleId="NumberedNote">
    <w:name w:val="Numbered Note"/>
    <w:basedOn w:val="NoList"/>
    <w:pPr>
      <w:numPr>
        <w:numId w:val="1"/>
      </w:numPr>
    </w:pPr>
  </w:style>
  <w:style w:type="numbering" w:customStyle="1" w:styleId="BulletedNote">
    <w:name w:val="Bulleted Note"/>
    <w:basedOn w:val="NoList"/>
    <w:pPr>
      <w:numPr>
        <w:numId w:val="2"/>
      </w:numPr>
    </w:pPr>
  </w:style>
  <w:style w:type="numbering" w:customStyle="1" w:styleId="NumericNote">
    <w:name w:val="Numeric Note"/>
    <w:basedOn w:val="NoList"/>
    <w:pPr>
      <w:numPr>
        <w:numId w:val="3"/>
      </w:numPr>
    </w:pPr>
  </w:style>
  <w:style w:type="numbering" w:customStyle="1" w:styleId="AlphaNote">
    <w:name w:val="Alpha Note"/>
    <w:basedOn w:val="NoList"/>
    <w:pPr>
      <w:numPr>
        <w:numId w:val="4"/>
      </w:numPr>
    </w:pPr>
  </w:style>
  <w:style w:type="paragraph" w:customStyle="1" w:styleId="AcknowledgementHeading">
    <w:name w:val="Acknowledgement Heading"/>
    <w:basedOn w:val="Normal"/>
    <w:next w:val="BodyText"/>
    <w:pPr>
      <w:keepNext/>
      <w:spacing w:before="1200" w:after="720"/>
      <w:jc w:val="center"/>
    </w:pPr>
    <w:rPr>
      <w:b/>
      <w:caps/>
      <w:lang w:val="en-US"/>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CommentText">
    <w:name w:val="annotation text"/>
    <w:basedOn w:val="Normal"/>
    <w:link w:val="CommentTextChar"/>
    <w:uiPriority w:val="99"/>
    <w:semiHidden/>
    <w:rPr>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Date">
    <w:name w:val="Date"/>
    <w:basedOn w:val="Normal"/>
    <w:next w:val="Normal"/>
  </w:style>
  <w:style w:type="paragraph" w:styleId="Header">
    <w:name w:val="header"/>
    <w:basedOn w:val="Normal"/>
    <w:pPr>
      <w:tabs>
        <w:tab w:val="clear" w:pos="850"/>
        <w:tab w:val="clear" w:pos="1191"/>
        <w:tab w:val="clear" w:pos="1531"/>
        <w:tab w:val="center" w:pos="4536"/>
        <w:tab w:val="right" w:pos="9072"/>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2">
    <w:name w:val="index 2"/>
    <w:basedOn w:val="Normal"/>
    <w:next w:val="Normal"/>
    <w:semiHidden/>
    <w:pPr>
      <w:tabs>
        <w:tab w:val="clear" w:pos="850"/>
        <w:tab w:val="clear" w:pos="1191"/>
        <w:tab w:val="clear" w:pos="1531"/>
      </w:tabs>
      <w:ind w:left="440" w:hanging="220"/>
    </w:pPr>
  </w:style>
  <w:style w:type="paragraph" w:styleId="Index3">
    <w:name w:val="index 3"/>
    <w:basedOn w:val="Normal"/>
    <w:next w:val="Normal"/>
    <w:semiHidden/>
    <w:pPr>
      <w:tabs>
        <w:tab w:val="clear" w:pos="850"/>
        <w:tab w:val="clear" w:pos="1191"/>
        <w:tab w:val="clear" w:pos="1531"/>
      </w:tabs>
      <w:ind w:left="660" w:hanging="220"/>
    </w:pPr>
  </w:style>
  <w:style w:type="paragraph" w:styleId="Index4">
    <w:name w:val="index 4"/>
    <w:basedOn w:val="Normal"/>
    <w:next w:val="Normal"/>
    <w:semiHidden/>
    <w:pPr>
      <w:tabs>
        <w:tab w:val="clear" w:pos="850"/>
        <w:tab w:val="clear" w:pos="1191"/>
        <w:tab w:val="clear" w:pos="1531"/>
      </w:tabs>
      <w:ind w:left="880" w:hanging="220"/>
    </w:pPr>
  </w:style>
  <w:style w:type="paragraph" w:styleId="Index5">
    <w:name w:val="index 5"/>
    <w:basedOn w:val="Normal"/>
    <w:next w:val="Normal"/>
    <w:semiHidden/>
    <w:pPr>
      <w:tabs>
        <w:tab w:val="clear" w:pos="850"/>
        <w:tab w:val="clear" w:pos="1191"/>
        <w:tab w:val="clear" w:pos="1531"/>
      </w:tabs>
      <w:ind w:left="1100" w:hanging="220"/>
    </w:pPr>
  </w:style>
  <w:style w:type="paragraph" w:styleId="Index6">
    <w:name w:val="index 6"/>
    <w:basedOn w:val="Normal"/>
    <w:next w:val="Normal"/>
    <w:semiHidden/>
    <w:pPr>
      <w:tabs>
        <w:tab w:val="clear" w:pos="850"/>
        <w:tab w:val="clear" w:pos="1191"/>
        <w:tab w:val="clear" w:pos="1531"/>
      </w:tabs>
      <w:ind w:left="1320" w:hanging="220"/>
    </w:pPr>
  </w:style>
  <w:style w:type="paragraph" w:styleId="Index7">
    <w:name w:val="index 7"/>
    <w:basedOn w:val="Normal"/>
    <w:next w:val="Normal"/>
    <w:semiHidden/>
    <w:pPr>
      <w:tabs>
        <w:tab w:val="clear" w:pos="850"/>
        <w:tab w:val="clear" w:pos="1191"/>
        <w:tab w:val="clear" w:pos="1531"/>
      </w:tabs>
      <w:ind w:left="1540" w:hanging="220"/>
    </w:pPr>
  </w:style>
  <w:style w:type="paragraph" w:styleId="Index8">
    <w:name w:val="index 8"/>
    <w:basedOn w:val="Normal"/>
    <w:next w:val="Normal"/>
    <w:semiHidden/>
    <w:pPr>
      <w:tabs>
        <w:tab w:val="clear" w:pos="850"/>
        <w:tab w:val="clear" w:pos="1191"/>
        <w:tab w:val="clear" w:pos="1531"/>
      </w:tabs>
      <w:ind w:left="1760" w:hanging="220"/>
    </w:pPr>
  </w:style>
  <w:style w:type="paragraph" w:styleId="Index9">
    <w:name w:val="index 9"/>
    <w:basedOn w:val="Normal"/>
    <w:next w:val="Normal"/>
    <w:semiHidden/>
    <w:pPr>
      <w:tabs>
        <w:tab w:val="clear" w:pos="850"/>
        <w:tab w:val="clear" w:pos="1191"/>
        <w:tab w:val="clear" w:pos="1531"/>
      </w:tabs>
      <w:ind w:left="1980" w:hanging="220"/>
    </w:pPr>
  </w:style>
  <w:style w:type="paragraph" w:styleId="Caption">
    <w:name w:val="caption"/>
    <w:basedOn w:val="Normal"/>
    <w:next w:val="Normal"/>
    <w:qFormat/>
    <w:pPr>
      <w:spacing w:before="120" w:after="120"/>
    </w:pPr>
    <w:rPr>
      <w:b/>
      <w:bCs/>
      <w:sz w:val="20"/>
      <w:szCs w:val="20"/>
    </w:rPr>
  </w:style>
  <w:style w:type="paragraph" w:styleId="NormalWeb">
    <w:name w:val="Normal (Web)"/>
    <w:basedOn w:val="Normal"/>
    <w:rPr>
      <w:sz w:val="24"/>
      <w:szCs w:val="24"/>
    </w:rPr>
  </w:style>
  <w:style w:type="paragraph" w:styleId="CommentSubject">
    <w:name w:val="annotation subject"/>
    <w:basedOn w:val="CommentText"/>
    <w:next w:val="CommentText"/>
    <w:semiHidden/>
    <w:rPr>
      <w:b/>
      <w:bCs/>
    </w:rPr>
  </w:style>
  <w:style w:type="paragraph" w:styleId="Footer">
    <w:name w:val="footer"/>
    <w:basedOn w:val="Normal"/>
    <w:pPr>
      <w:tabs>
        <w:tab w:val="clear" w:pos="850"/>
        <w:tab w:val="clear" w:pos="1191"/>
        <w:tab w:val="clear" w:pos="1531"/>
        <w:tab w:val="center" w:pos="4536"/>
        <w:tab w:val="right" w:pos="9072"/>
      </w:tabs>
    </w:pPr>
  </w:style>
  <w:style w:type="paragraph" w:styleId="HTMLPreformatted">
    <w:name w:val="HTML Preformatted"/>
    <w:basedOn w:val="Normal"/>
    <w:rPr>
      <w:rFonts w:ascii="Courier New" w:hAnsi="Courier New" w:cs="Courier New"/>
      <w:sz w:val="20"/>
      <w:szCs w:val="20"/>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240"/>
      <w:ind w:left="442"/>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tabs>
        <w:tab w:val="clear" w:pos="850"/>
        <w:tab w:val="clear" w:pos="1191"/>
        <w:tab w:val="clear" w:pos="1531"/>
      </w:tabs>
      <w:ind w:left="440" w:hanging="440"/>
    </w:pPr>
  </w:style>
  <w:style w:type="paragraph" w:styleId="TableofAuthorities">
    <w:name w:val="table of authorities"/>
    <w:basedOn w:val="Normal"/>
    <w:next w:val="Normal"/>
    <w:semiHidden/>
    <w:pPr>
      <w:tabs>
        <w:tab w:val="clear" w:pos="850"/>
        <w:tab w:val="clear" w:pos="1191"/>
        <w:tab w:val="clear" w:pos="1531"/>
      </w:tabs>
      <w:ind w:left="220" w:hanging="220"/>
    </w:p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zh-CN"/>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qFormat/>
    <w:pPr>
      <w:tabs>
        <w:tab w:val="clear" w:pos="850"/>
        <w:tab w:val="clear" w:pos="1191"/>
        <w:tab w:val="clear" w:pos="1531"/>
      </w:tabs>
      <w:ind w:left="1100"/>
    </w:pPr>
  </w:style>
  <w:style w:type="paragraph" w:styleId="TOC7">
    <w:name w:val="toc 7"/>
    <w:basedOn w:val="Normal"/>
    <w:next w:val="Normal"/>
    <w:qFormat/>
    <w:pPr>
      <w:tabs>
        <w:tab w:val="clear" w:pos="850"/>
        <w:tab w:val="clear" w:pos="1191"/>
        <w:tab w:val="clear" w:pos="1531"/>
      </w:tabs>
      <w:ind w:left="1320"/>
    </w:pPr>
  </w:style>
  <w:style w:type="paragraph" w:styleId="TOC8">
    <w:name w:val="toc 8"/>
    <w:basedOn w:val="Normal"/>
    <w:next w:val="Normal"/>
    <w:qFormat/>
    <w:pPr>
      <w:tabs>
        <w:tab w:val="clear" w:pos="850"/>
        <w:tab w:val="clear" w:pos="1191"/>
        <w:tab w:val="clear" w:pos="1531"/>
      </w:tabs>
      <w:ind w:left="1540"/>
    </w:pPr>
  </w:style>
  <w:style w:type="paragraph" w:customStyle="1" w:styleId="BoxBodyText">
    <w:name w:val="Box Body Text"/>
    <w:basedOn w:val="Normal"/>
    <w:pPr>
      <w:spacing w:after="240"/>
      <w:ind w:firstLine="442"/>
    </w:pPr>
    <w:rPr>
      <w:rFonts w:ascii="Arial" w:hAnsi="Arial" w:cs="Arial"/>
      <w:sz w:val="18"/>
      <w:lang w:val="en-US"/>
    </w:rPr>
  </w:style>
  <w:style w:type="paragraph" w:customStyle="1" w:styleId="BoxBodyTextIndent">
    <w:name w:val="Box Body Text Indent"/>
    <w:basedOn w:val="Normal"/>
    <w:pPr>
      <w:spacing w:after="240"/>
      <w:ind w:left="442"/>
    </w:pPr>
    <w:rPr>
      <w:rFonts w:ascii="Arial" w:hAnsi="Arial" w:cs="Arial"/>
      <w:sz w:val="18"/>
      <w:lang w:val="en-US"/>
    </w:rPr>
  </w:style>
  <w:style w:type="character" w:styleId="PageNumber">
    <w:name w:val="page number"/>
    <w:basedOn w:val="DefaultParagraphFont"/>
    <w:uiPriority w:val="99"/>
    <w:semiHidden/>
    <w:unhideWhenUsed/>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2"/>
      <w:lang w:val="en-GB" w:eastAsia="zh-CN"/>
    </w:rPr>
  </w:style>
  <w:style w:type="paragraph" w:styleId="ListParagraph">
    <w:name w:val="List Paragraph"/>
    <w:basedOn w:val="Normal"/>
    <w:uiPriority w:val="34"/>
    <w:qFormat/>
    <w:pPr>
      <w:ind w:left="720"/>
      <w:contextualSpacing/>
    </w:pPr>
  </w:style>
  <w:style w:type="paragraph" w:styleId="NoSpacing">
    <w:name w:val="No Spacing"/>
    <w:uiPriority w:val="1"/>
    <w:qFormat/>
    <w:pPr>
      <w:tabs>
        <w:tab w:val="left" w:pos="850"/>
        <w:tab w:val="left" w:pos="1191"/>
        <w:tab w:val="left" w:pos="1531"/>
      </w:tabs>
      <w:jc w:val="both"/>
    </w:pPr>
    <w:rPr>
      <w:sz w:val="22"/>
      <w:szCs w:val="22"/>
      <w:lang w:val="en-GB" w:eastAsia="zh-CN"/>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2"/>
      <w:lang w:val="en-GB" w:eastAsia="zh-CN"/>
    </w:rPr>
  </w:style>
  <w:style w:type="paragraph" w:styleId="TOCHeading">
    <w:name w:val="TOC Heading"/>
    <w:basedOn w:val="Heading1"/>
    <w:next w:val="Normal"/>
    <w:uiPriority w:val="39"/>
    <w:semiHidden/>
    <w:unhideWhenUsed/>
    <w:qFormat/>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Citation">
    <w:name w:val="Citation"/>
    <w:basedOn w:val="BodyText"/>
    <w:link w:val="CitationChar"/>
    <w:pPr>
      <w:ind w:left="850" w:firstLine="0"/>
      <w:jc w:val="left"/>
    </w:pPr>
  </w:style>
  <w:style w:type="character" w:customStyle="1" w:styleId="CitationChar">
    <w:name w:val="Citation Char"/>
    <w:basedOn w:val="DefaultParagraphFont"/>
    <w:link w:val="Citation"/>
    <w:rPr>
      <w:sz w:val="22"/>
      <w:szCs w:val="22"/>
      <w:lang w:val="en-GB" w:eastAsia="zh-CN"/>
    </w:rPr>
  </w:style>
  <w:style w:type="character" w:styleId="Hyperlink">
    <w:name w:val="Hyperlink"/>
    <w:basedOn w:val="DefaultParagraphFont"/>
    <w:uiPriority w:val="99"/>
    <w:unhideWhenUsed/>
    <w:rsid w:val="00C442A2"/>
    <w:rPr>
      <w:color w:val="0000FF"/>
      <w:u w:val="single"/>
    </w:rPr>
  </w:style>
  <w:style w:type="character" w:styleId="CommentReference">
    <w:name w:val="annotation reference"/>
    <w:basedOn w:val="DefaultParagraphFont"/>
    <w:uiPriority w:val="99"/>
    <w:semiHidden/>
    <w:unhideWhenUsed/>
    <w:rsid w:val="00C442A2"/>
    <w:rPr>
      <w:sz w:val="16"/>
      <w:szCs w:val="16"/>
    </w:rPr>
  </w:style>
  <w:style w:type="character" w:styleId="Emphasis">
    <w:name w:val="Emphasis"/>
    <w:basedOn w:val="DefaultParagraphFont"/>
    <w:uiPriority w:val="20"/>
    <w:qFormat/>
    <w:rsid w:val="00C442A2"/>
    <w:rPr>
      <w:i/>
      <w:iCs/>
    </w:rPr>
  </w:style>
  <w:style w:type="character" w:styleId="FollowedHyperlink">
    <w:name w:val="FollowedHyperlink"/>
    <w:basedOn w:val="DefaultParagraphFont"/>
    <w:uiPriority w:val="99"/>
    <w:semiHidden/>
    <w:unhideWhenUsed/>
    <w:rsid w:val="00C442A2"/>
    <w:rPr>
      <w:color w:val="800080" w:themeColor="followedHyperlink"/>
      <w:u w:val="single"/>
    </w:rPr>
  </w:style>
  <w:style w:type="character" w:customStyle="1" w:styleId="CommentTextChar">
    <w:name w:val="Comment Text Char"/>
    <w:basedOn w:val="DefaultParagraphFont"/>
    <w:link w:val="CommentText"/>
    <w:uiPriority w:val="99"/>
    <w:semiHidden/>
    <w:rsid w:val="00C442A2"/>
    <w:rPr>
      <w:lang w:val="fr-FR" w:eastAsia="zh-CN"/>
    </w:rPr>
  </w:style>
  <w:style w:type="character" w:customStyle="1" w:styleId="hps">
    <w:name w:val="hps"/>
    <w:basedOn w:val="DefaultParagraphFont"/>
    <w:rsid w:val="00C442A2"/>
  </w:style>
  <w:style w:type="character" w:customStyle="1" w:styleId="apple-converted-space">
    <w:name w:val="apple-converted-space"/>
    <w:basedOn w:val="DefaultParagraphFont"/>
    <w:rsid w:val="00C44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nnexHeading">
    <w:name w:val="BulletedNote"/>
    <w:pPr>
      <w:numPr>
        <w:numId w:val="2"/>
      </w:numPr>
    </w:pPr>
  </w:style>
  <w:style w:type="numbering" w:customStyle="1" w:styleId="BodyText">
    <w:name w:val="NumericNote"/>
    <w:pPr>
      <w:numPr>
        <w:numId w:val="3"/>
      </w:numPr>
    </w:pPr>
  </w:style>
  <w:style w:type="numbering" w:customStyle="1" w:styleId="Annotation">
    <w:name w:val="NumberedNote"/>
    <w:pPr>
      <w:numPr>
        <w:numId w:val="1"/>
      </w:numPr>
    </w:pPr>
  </w:style>
  <w:style w:type="numbering" w:customStyle="1" w:styleId="AppendixHeading">
    <w:name w:val="AlphaNo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dx.doi.org/10.1787/factbook-2014-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ecd.org/std/comptesnationau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unstats.un.org/unsd/nationalaccount/docs/1993sn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nstats.un.org/unsd/nationalaccount/docs/SNA2008.pdf" TargetMode="External"/><Relationship Id="rId20" Type="http://schemas.openxmlformats.org/officeDocument/2006/relationships/hyperlink" Target="http://dx.doi.org/10.1787/na-data-f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unstats.un.org/unsd/cr/registry/regcst.asp?Cl=27"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oecdilibrary.org/oecd/content/data/data-00369-fr"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oecd.org/fr/std/prix-pp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in.oecd.org\winapps\Office2010\Workgroup%20Templates\AE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2.xml><?xml version="1.0" encoding="utf-8"?>
<?mso-contentType ?>
<CtFieldPriority xmlns="http://www.oecd.org/eshare/projectsentre/CtFieldPriority/" xmlns:i="http://www.w3.org/2001/XMLSchema-instance" NameSpaceURI="http://www.oecd.org/eshare/projectsentre/CtFieldPriority/">
  <PriorityFields xmlns:a="http://schemas.microsoft.com/2003/10/Serialization/Arrays">
    <a:string>Title</a:string>
    <a:string>FileLeafRef</a:string>
    <a:string>OECDCountry</a:string>
    <a:string>OECDTopic</a:string>
    <a:string>OECDKeywords</a:string>
  </PriorityFields>
</CtFieldPriority>
</file>

<file path=customXml/item3.xml><?xml version="1.0" encoding="utf-8"?>
<?mso-contentType ?>
<FormTemplates xmlns="http://schemas.microsoft.com/sharepoint/v3/contenttype/forms">
  <Display>OECDListFormCollapsible</Display>
  <Edit>OECDListFormCollapsible</Edit>
  <New>OECDListFormCollapsible</New>
</FormTemplates>
</file>

<file path=customXml/item4.xml><?xml version="1.0" encoding="utf-8"?>
<p:properties xmlns:p="http://schemas.microsoft.com/office/2006/metadata/properties" xmlns:xsi="http://www.w3.org/2001/XMLSchema-instance" xmlns:pc="http://schemas.microsoft.com/office/infopath/2007/PartnerControls">
  <documentManagement>
    <OECDProjectLookup xmlns="b598d352-c6a7-4aae-83d5-4d74878f8938">3</OECDProjectLookup>
    <OECDKimBussinessContext xmlns="54c4cd27-f286-408f-9ce0-33c1e0f3ab39" xsi:nil="true"/>
    <OECDProjectManager xmlns="b598d352-c6a7-4aae-83d5-4d74878f8938">
      <UserInfo>
        <DisplayName/>
        <AccountId xsi:nil="true"/>
        <AccountType/>
      </UserInfo>
    </OECDProjectManager>
    <eSharePWBTaxHTField0 xmlns="c9f238dd-bb73-4aef-a7a5-d644ad823e52">
      <Terms xmlns="http://schemas.microsoft.com/office/infopath/2007/PartnerControls">
        <TermInfo xmlns="http://schemas.microsoft.com/office/infopath/2007/PartnerControls">
          <TermName xmlns="http://schemas.microsoft.com/office/infopath/2007/PartnerControls">6.2.1.1.2 National Accounts at a Glance</TermName>
          <TermId xmlns="http://schemas.microsoft.com/office/infopath/2007/PartnerControls">0aa9b00c-da1a-4f14-8ec8-d0789e209b09</TermId>
        </TermInfo>
      </Terms>
    </eSharePWBTaxHTField0>
    <d0db5dc05a5e404e9147bc85a79f78c9 xmlns="b598d352-c6a7-4aae-83d5-4d74878f8938" xsi:nil="true"/>
    <OECDProjectMembers xmlns="b598d352-c6a7-4aae-83d5-4d74878f8938">
      <UserInfo>
        <DisplayName>BOLTON Esther, STD/NAD</DisplayName>
        <AccountId>111</AccountId>
        <AccountType/>
      </UserInfo>
      <UserInfo>
        <DisplayName>RIBARSKY Jennifer, STD/NAD</DisplayName>
        <AccountId>163</AccountId>
        <AccountType/>
      </UserInfo>
      <UserInfo>
        <DisplayName>GIRODET Catherine, STD/NAD</DisplayName>
        <AccountId>108</AccountId>
        <AccountType/>
      </UserInfo>
      <UserInfo>
        <DisplayName>WOLFF Florence, STD/NAD</DisplayName>
        <AccountId>119</AccountId>
        <AccountType/>
      </UserInfo>
      <UserInfo>
        <DisplayName>WISTROM Bettina, STD/NAD</DisplayName>
        <AccountId>88</AccountId>
        <AccountType/>
      </UserInfo>
      <UserInfo>
        <DisplayName>YNESTA Isabelle, STD/NAD</DisplayName>
        <AccountId>102</AccountId>
        <AccountType/>
      </UserInfo>
      <UserInfo>
        <DisplayName>BEISEMANN Leonie, STD/NAD</DisplayName>
        <AccountId>254</AccountId>
        <AccountType/>
      </UserInfo>
      <UserInfo>
        <DisplayName>DE QUELJOE Matthew, STD/NAD</DisplayName>
        <AccountId>92</AccountId>
        <AccountType/>
      </UserInfo>
      <UserInfo>
        <DisplayName>Spliethoff_Admin</DisplayName>
        <AccountId>209</AccountId>
        <AccountType/>
      </UserInfo>
    </OECDProjectMembers>
    <OECDExpirationDate xmlns="b855e8c8-0866-41c2-bf69-0bb389390676" xsi:nil="true"/>
    <eShareCommitteeTaxHTField0 xmlns="c9f238dd-bb73-4aef-a7a5-d644ad823e52">
      <Terms xmlns="http://schemas.microsoft.com/office/infopath/2007/PartnerControls">
        <TermInfo xmlns="http://schemas.microsoft.com/office/infopath/2007/PartnerControls">
          <TermName xmlns="http://schemas.microsoft.com/office/infopath/2007/PartnerControls">Working Party on National Accounts</TermName>
          <TermId xmlns="http://schemas.microsoft.com/office/infopath/2007/PartnerControls">f417eecb-38cf-48e4-9260-d661ef8d58d7</TermId>
        </TermInfo>
      </Terms>
    </eShareCommitteeTaxHTField0>
    <g7e8a50fa859465b9bf3e8920321b125 xmlns="b598d352-c6a7-4aae-83d5-4d74878f8938">
      <Terms xmlns="http://schemas.microsoft.com/office/infopath/2007/PartnerControls">
        <TermInfo xmlns="http://schemas.microsoft.com/office/infopath/2007/PartnerControls">
          <TermName xmlns="http://schemas.microsoft.com/office/infopath/2007/PartnerControls">STD/NAD</TermName>
          <TermId xmlns="http://schemas.microsoft.com/office/infopath/2007/PartnerControls">c16a9c4d-ab4d-4ed8-a373-1b3a73c00a22</TermId>
        </TermInfo>
      </Terms>
    </g7e8a50fa859465b9bf3e8920321b125>
    <OECDKimProvenance xmlns="54c4cd27-f286-408f-9ce0-33c1e0f3ab39" xsi:nil="true"/>
    <g81a30e168d04bd48fa13367ae60bbde xmlns="b855e8c8-0866-41c2-bf69-0bb389390676">
      <Terms xmlns="http://schemas.microsoft.com/office/infopath/2007/PartnerControls"/>
    </g81a30e168d04bd48fa13367ae60bbde>
    <OECDPinnedBy xmlns="b598d352-c6a7-4aae-83d5-4d74878f8938">
      <UserInfo>
        <DisplayName/>
        <AccountId xsi:nil="true"/>
        <AccountType/>
      </UserInfo>
    </OECDPinnedBy>
    <OECDKimStatus xmlns="54c4cd27-f286-408f-9ce0-33c1e0f3ab39">Draft</OECDKimStatus>
    <OECDTagsCache xmlns="b598d352-c6a7-4aae-83d5-4d74878f8938" xsi:nil="true"/>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Annual national accounts</TermName>
          <TermId xmlns="http://schemas.microsoft.com/office/infopath/2007/PartnerControls">e4699b97-d327-4aaf-86d4-29bfb5367b8c</TermId>
        </TermInfo>
      </Terms>
    </eShareTopicTaxHTField0>
    <OECDMainProject xmlns="b598d352-c6a7-4aae-83d5-4d74878f8938" xsi:nil="true"/>
    <eShareKeywordsTaxHTField0 xmlns="c9f238dd-bb73-4aef-a7a5-d644ad823e52">
      <Terms xmlns="http://schemas.microsoft.com/office/infopath/2007/PartnerControls">
        <TermInfo xmlns="http://schemas.microsoft.com/office/infopath/2007/PartnerControls">
          <TermName xmlns="http://schemas.microsoft.com/office/infopath/2007/PartnerControls">NAAG 2015</TermName>
          <TermId xmlns="http://schemas.microsoft.com/office/infopath/2007/PartnerControls">60fea018-3192-40cc-9ce3-90bc11f9b980</TermId>
        </TermInfo>
      </Terms>
    </eShareKeywordsTaxHTField0>
    <TaxCatchAll xmlns="ca82dde9-3436-4d3d-bddd-d31447390034">
      <Value>208</Value>
      <Value>207</Value>
      <Value>41</Value>
      <Value>209</Value>
      <Value>165</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69286A3C98319E49AE6127572B185E9B" ma:contentTypeVersion="26" ma:contentTypeDescription="Create a new document." ma:contentTypeScope="" ma:versionID="9a9c70c67ee3dfd2937bbbde496c7b30">
  <xsd:schema xmlns:xsd="http://www.w3.org/2001/XMLSchema" xmlns:xs="http://www.w3.org/2001/XMLSchema" xmlns:p="http://schemas.microsoft.com/office/2006/metadata/properties" xmlns:ns2="54c4cd27-f286-408f-9ce0-33c1e0f3ab39" xmlns:ns3="b855e8c8-0866-41c2-bf69-0bb389390676" xmlns:ns4="b598d352-c6a7-4aae-83d5-4d74878f8938" xmlns:ns5="c9f238dd-bb73-4aef-a7a5-d644ad823e52" xmlns:ns6="ca82dde9-3436-4d3d-bddd-d31447390034" targetNamespace="http://schemas.microsoft.com/office/2006/metadata/properties" ma:root="true" ma:fieldsID="171b194a11956d2910c8308a4d27cb17" ns2:_="" ns3:_="" ns4:_="" ns5:_="" ns6:_="">
    <xsd:import namespace="54c4cd27-f286-408f-9ce0-33c1e0f3ab39"/>
    <xsd:import namespace="b855e8c8-0866-41c2-bf69-0bb389390676"/>
    <xsd:import namespace="b598d352-c6a7-4aae-83d5-4d74878f8938"/>
    <xsd:import namespace="c9f238dd-bb73-4aef-a7a5-d644ad823e52"/>
    <xsd:import namespace="ca82dde9-3436-4d3d-bddd-d31447390034"/>
    <xsd:element name="properties">
      <xsd:complexType>
        <xsd:sequence>
          <xsd:element name="documentManagement">
            <xsd:complexType>
              <xsd:all>
                <xsd:element ref="ns2:OECDKimStatus" minOccurs="0"/>
                <xsd:element ref="ns4:OECDProjectLookup" minOccurs="0"/>
                <xsd:element ref="ns4:OECDProjectManager" minOccurs="0"/>
                <xsd:element ref="ns4:OECDProjectMembers" minOccurs="0"/>
                <xsd:element ref="ns4:OECDTagsCache" minOccurs="0"/>
                <xsd:element ref="ns4: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4:d0db5dc05a5e404e9147bc85a79f78c9" minOccurs="0"/>
                <xsd:element ref="ns3:OECDExpirationDate" minOccurs="0"/>
                <xsd:element ref="ns4:OECDMainProject" minOccurs="0"/>
                <xsd:element ref="ns2:OECDKimProvenance" minOccurs="0"/>
                <xsd:element ref="ns6:TaxCatchAll" minOccurs="0"/>
                <xsd:element ref="ns6:TaxCatchAllLabel" minOccurs="0"/>
                <xsd:element ref="ns2:OECDKimBussinessContext" minOccurs="0"/>
                <xsd:element ref="ns3:g81a30e168d04bd48fa13367ae60bbde" minOccurs="0"/>
                <xsd:element ref="ns4:g7e8a50fa859465b9bf3e8920321b1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7"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Provenance" ma:index="29" nillable="true" ma:displayName="Kim provenance" ma:description="" ma:hidden="true" ma:internalName="OECDKimProvenance">
      <xsd:simpleType>
        <xsd:restriction base="dms:Text"/>
      </xsd:simpleType>
    </xsd:element>
    <xsd:element name="OECDKimBussinessContext" ma:index="33" nillable="true" ma:displayName="Kim business context" ma:description="" ma:hidden="true" ma:internalName="OECDKimBussinessContex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5e8c8-0866-41c2-bf69-0bb389390676" elementFormDefault="qualified">
    <xsd:import namespace="http://schemas.microsoft.com/office/2006/documentManagement/types"/>
    <xsd:import namespace="http://schemas.microsoft.com/office/infopath/2007/PartnerControls"/>
    <xsd:element name="OECDExpirationDate" ma:index="25" nillable="true" ma:displayName="Expiration Date" ma:default="[today]" ma:description="" ma:format="DateOnly" ma:indexed="true" ma:internalName="OECDExpirationDate">
      <xsd:simpleType>
        <xsd:restriction base="dms:DateTime"/>
      </xsd:simpleType>
    </xsd:element>
    <xsd:element name="g81a30e168d04bd48fa13367ae60bbde" ma:index="34" nillable="true" ma:taxonomy="true" ma:internalName="g81a30e168d04bd48fa13367ae60bbde" ma:taxonomyFieldName="OECDHorizontalProjects" ma:displayName="Horizontal project" ma:default="" ma:fieldId="081a30e1-68d0-4bd4-8fa1-3367ae60bbde"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8d352-c6a7-4aae-83d5-4d74878f8938" elementFormDefault="qualified">
    <xsd:import namespace="http://schemas.microsoft.com/office/2006/documentManagement/types"/>
    <xsd:import namespace="http://schemas.microsoft.com/office/infopath/2007/PartnerControls"/>
    <xsd:element name="OECDProjectLookup" ma:index="8" nillable="true" ma:displayName="Project" ma:hidden="true" ma:indexed="true" ma:list="28325a2a-103b-489e-b0c4-3caa1ffddb48" ma:internalName="OECDProjectLookup" ma:showField="OECDShortProjectName" ma:web="b598d352-c6a7-4aae-83d5-4d74878f8938">
      <xsd:simpleType>
        <xsd:restriction base="dms:Unknown"/>
      </xsd:simpleType>
    </xsd:element>
    <xsd:element name="OECDProjectManager" ma:index="13"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4"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6" nillable="true" ma:displayName="Tags cache" ma:description="" ma:hidden="true" ma:internalName="OECDTagsCache">
      <xsd:simpleType>
        <xsd:restriction base="dms:Note"/>
      </xsd:simpleType>
    </xsd:element>
    <xsd:element name="OECDPinnedBy" ma:index="17"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0db5dc05a5e404e9147bc85a79f78c9" ma:index="24" nillable="true" ma:displayName="Deliverable owner_0" ma:hidden="true" ma:internalName="d0db5dc05a5e404e9147bc85a79f78c9">
      <xsd:simpleType>
        <xsd:restriction base="dms:Note"/>
      </xsd:simpleType>
    </xsd:element>
    <xsd:element name="OECDMainProject" ma:index="26" nillable="true" ma:displayName="Main project" ma:description="" ma:hidden="true" ma:indexed="true" ma:list="28325a2a-103b-489e-b0c4-3caa1ffddb48" ma:internalName="OECDMainProject" ma:readOnly="false" ma:showField="OECDShortProjectName">
      <xsd:simpleType>
        <xsd:restriction base="dms:Unknown"/>
      </xsd:simpleType>
    </xsd:element>
    <xsd:element name="g7e8a50fa859465b9bf3e8920321b125" ma:index="35" nillable="true" ma:taxonomy="true" ma:internalName="g7e8a50fa859465b9bf3e8920321b125" ma:taxonomyFieldName="OECDProjectOwnerStructure" ma:displayName="Project owner" ma:indexed="true" ma:readOnly="false" ma:default="" ma:fieldId="07e8a50f-a859-465b-9bf3-e8920321b125" ma:sspId="27ec883c-a62c-444f-a935-fcddb579e39d" ma:termSetId="aeec4dcb-19ee-4bc0-941f-681845b568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9" nillable="true" ma:taxonomy="true" ma:internalName="eShareCountryTaxHTField0" ma:taxonomyFieldName="OECDCountry" ma:displayName="Country"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0"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1"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2" nillable="true" ma:taxonomy="true" ma:internalName="eShareCommitteeTaxHTField0" ma:taxonomyFieldName="OECDCommittee" ma:displayName="Committee" ma:readOnly="fals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3"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31" nillable="true" ma:displayName="Taxonomy Catch All Column" ma:description="" ma:hidden="true" ma:list="{e32c7df2-3e97-41ed-8365-b4ba9507881a}" ma:internalName="TaxCatchAll" ma:showField="CatchAllData" ma:web="b855e8c8-0866-41c2-bf69-0bb3893906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description="" ma:hidden="true" ma:list="{e32c7df2-3e97-41ed-8365-b4ba9507881a}" ma:internalName="TaxCatchAllLabel" ma:readOnly="true" ma:showField="CatchAllDataLabel" ma:web="b855e8c8-0866-41c2-bf69-0bb389390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OECDHarvard.XSL" StyleName="OECD Harvard"/>
</file>

<file path=customXml/itemProps1.xml><?xml version="1.0" encoding="utf-8"?>
<ds:datastoreItem xmlns:ds="http://schemas.openxmlformats.org/officeDocument/2006/customXml" ds:itemID="{86059291-2A34-4C9C-8FA5-77984CF1CFDF}"/>
</file>

<file path=customXml/itemProps2.xml><?xml version="1.0" encoding="utf-8"?>
<ds:datastoreItem xmlns:ds="http://schemas.openxmlformats.org/officeDocument/2006/customXml" ds:itemID="{BDCFBEF0-83FD-4A28-B51A-D710EFD9659A}"/>
</file>

<file path=customXml/itemProps3.xml><?xml version="1.0" encoding="utf-8"?>
<ds:datastoreItem xmlns:ds="http://schemas.openxmlformats.org/officeDocument/2006/customXml" ds:itemID="{E280328D-D2BD-4016-A9C2-358EC0D456C4}"/>
</file>

<file path=customXml/itemProps4.xml><?xml version="1.0" encoding="utf-8"?>
<ds:datastoreItem xmlns:ds="http://schemas.openxmlformats.org/officeDocument/2006/customXml" ds:itemID="{CBD67FB3-4FEC-4C3B-AD2E-9C40A8C5F359}"/>
</file>

<file path=customXml/itemProps5.xml><?xml version="1.0" encoding="utf-8"?>
<ds:datastoreItem xmlns:ds="http://schemas.openxmlformats.org/officeDocument/2006/customXml" ds:itemID="{B6DC1B82-30AB-468D-9D6A-8F108BF4093C}"/>
</file>

<file path=customXml/itemProps6.xml><?xml version="1.0" encoding="utf-8"?>
<ds:datastoreItem xmlns:ds="http://schemas.openxmlformats.org/officeDocument/2006/customXml" ds:itemID="{3E4D641C-8292-4172-9682-8C020FE8A1D2}"/>
</file>

<file path=docProps/app.xml><?xml version="1.0" encoding="utf-8"?>
<Properties xmlns="http://schemas.openxmlformats.org/officeDocument/2006/extended-properties" xmlns:vt="http://schemas.openxmlformats.org/officeDocument/2006/docPropsVTypes">
  <Template>AE2007.dotm</Template>
  <TotalTime>222</TotalTime>
  <Pages>9</Pages>
  <Words>2766</Words>
  <Characters>15772</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O.E.C.D.</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BEISEMANN Leonie</dc:creator>
  <cp:lastModifiedBy>BOLTON Esther</cp:lastModifiedBy>
  <cp:revision>9</cp:revision>
  <dcterms:created xsi:type="dcterms:W3CDTF">2015-11-26T15:35:00Z</dcterms:created>
  <dcterms:modified xsi:type="dcterms:W3CDTF">2015-12-07T15:37:00Z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jor Version">
    <vt:lpwstr>1</vt:lpwstr>
  </property>
  <property fmtid="{D5CDD505-2E9C-101B-9397-08002B2CF9AE}" pid="3" name="Minor Version">
    <vt:lpwstr>0</vt:lpwstr>
  </property>
  <property fmtid="{D5CDD505-2E9C-101B-9397-08002B2CF9AE}" pid="4" name="Build">
    <vt:lpwstr>20110530-001</vt:lpwstr>
  </property>
  <property fmtid="{D5CDD505-2E9C-101B-9397-08002B2CF9AE}" pid="5" name="ContentTypeId">
    <vt:lpwstr>0x0101008B4DD370EC31429186F3AD49F0D3098F00D44DBCB9EB4F45278CB5C9765BE5299500A4858B360C6A491AA753F8BCA47AA9100069286A3C98319E49AE6127572B185E9B</vt:lpwstr>
  </property>
  <property fmtid="{D5CDD505-2E9C-101B-9397-08002B2CF9AE}" pid="6" name="OECDProjectOwnerStructure">
    <vt:lpwstr>165;#STD/NAD|c16a9c4d-ab4d-4ed8-a373-1b3a73c00a22</vt:lpwstr>
  </property>
  <property fmtid="{D5CDD505-2E9C-101B-9397-08002B2CF9AE}" pid="7" name="OECDTopic">
    <vt:lpwstr>207;#Annual national accounts|e4699b97-d327-4aaf-86d4-29bfb5367b8c</vt:lpwstr>
  </property>
  <property fmtid="{D5CDD505-2E9C-101B-9397-08002B2CF9AE}" pid="8" name="OECDProjectPageLink">
    <vt:lpwstr>265</vt:lpwstr>
  </property>
  <property fmtid="{D5CDD505-2E9C-101B-9397-08002B2CF9AE}" pid="9" name="OECDCountry">
    <vt:lpwstr/>
  </property>
  <property fmtid="{D5CDD505-2E9C-101B-9397-08002B2CF9AE}" pid="10" name="OECDCommittee">
    <vt:lpwstr>41;#Working Party on National Accounts|f417eecb-38cf-48e4-9260-d661ef8d58d7</vt:lpwstr>
  </property>
  <property fmtid="{D5CDD505-2E9C-101B-9397-08002B2CF9AE}" pid="11" name="OECDPWB">
    <vt:lpwstr>209;#6.2.1.1.2 National Accounts at a Glance|0aa9b00c-da1a-4f14-8ec8-d0789e209b09</vt:lpwstr>
  </property>
  <property fmtid="{D5CDD505-2E9C-101B-9397-08002B2CF9AE}" pid="12" name="OECDKeywords">
    <vt:lpwstr>208;#NAAG 2015|60fea018-3192-40cc-9ce3-90bc11f9b980</vt:lpwstr>
  </property>
  <property fmtid="{D5CDD505-2E9C-101B-9397-08002B2CF9AE}" pid="13" name="eShareOrganisationTaxHTField0">
    <vt:lpwstr/>
  </property>
  <property fmtid="{D5CDD505-2E9C-101B-9397-08002B2CF9AE}" pid="14" name="OECDHorizontalProjects">
    <vt:lpwstr/>
  </property>
  <property fmtid="{D5CDD505-2E9C-101B-9397-08002B2CF9AE}" pid="15" name="OECDOrganisation">
    <vt:lpwstr/>
  </property>
</Properties>
</file>