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160608135"/>
    <w:bookmarkStart w:id="1" w:name="_Toc160608200"/>
    <w:bookmarkStart w:id="2" w:name="_Toc160608388"/>
    <w:bookmarkStart w:id="3" w:name="_Toc160608962"/>
    <w:bookmarkStart w:id="4" w:name="_Toc160609095"/>
    <w:bookmarkStart w:id="5" w:name="_Toc160609228"/>
    <w:bookmarkStart w:id="6" w:name="_Toc163533438"/>
    <w:bookmarkStart w:id="7" w:name="_Toc169343739"/>
    <w:bookmarkStart w:id="8" w:name="_Toc174936718"/>
    <w:bookmarkStart w:id="9" w:name="_Toc203897734"/>
    <w:bookmarkStart w:id="10" w:name="_Toc203898408"/>
    <w:bookmarkStart w:id="11" w:name="_Toc272931517"/>
    <w:bookmarkStart w:id="12" w:name="_Toc273007818"/>
    <w:bookmarkStart w:id="13" w:name="_Toc361730660"/>
    <w:bookmarkStart w:id="14" w:name="_GoBack"/>
    <w:bookmarkEnd w:id="14"/>
    <w:p w:rsidR="00D03B78" w:rsidRDefault="007D0BB6" w:rsidP="00334A02">
      <w:pPr>
        <w:sectPr w:rsidR="00D03B78" w:rsidSect="00334A02">
          <w:headerReference w:type="even" r:id="rId10"/>
          <w:headerReference w:type="default" r:id="rId11"/>
          <w:footerReference w:type="even" r:id="rId12"/>
          <w:footerReference w:type="default" r:id="rId13"/>
          <w:endnotePr>
            <w:numFmt w:val="decimal"/>
          </w:endnotePr>
          <w:pgSz w:w="11906" w:h="16838"/>
          <w:pgMar w:top="737" w:right="312" w:bottom="300" w:left="369" w:header="0" w:footer="0" w:gutter="0"/>
          <w:cols w:space="720"/>
          <w:titlePg/>
          <w:docGrid w:linePitch="299"/>
        </w:sectPr>
      </w:pPr>
      <w:r>
        <w:fldChar w:fldCharType="begin"/>
      </w:r>
      <w:r>
        <w:instrText xml:space="preserve"> MACROBUTTON PARADOC </w:instrText>
      </w:r>
      <w:r>
        <w:fldChar w:fldCharType="begin"/>
      </w:r>
      <w:r>
        <w:instrText xml:space="preserve"> SEQ dpara \h \r 0</w:instrText>
      </w:r>
      <w:r>
        <w:fldChar w:fldCharType="end"/>
      </w:r>
      <w:r>
        <w:fldChar w:fldCharType="end"/>
      </w:r>
      <w:r w:rsidR="00D03B78">
        <w:fldChar w:fldCharType="begin"/>
      </w:r>
      <w:r w:rsidR="00D03B78">
        <w:instrText xml:space="preserve"> MACROBUTTON InsertCVP.main  \* MERGEFORMAT</w:instrText>
      </w:r>
      <w:bookmarkStart w:id="15" w:name="_MON_1500734973"/>
      <w:bookmarkEnd w:id="15"/>
      <w:r w:rsidR="000E1A55">
        <w:object w:dxaOrig="11096" w:dyaOrig="15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54.95pt;height:763.45pt" o:ole="">
            <v:imagedata r:id="rId14" o:title=""/>
          </v:shape>
          <o:OLEObject Type="Embed" ProgID="Word.Document.8" ShapeID="_x0000_i1043" DrawAspect="Content" ObjectID="_1520079480" r:id="rId15">
            <o:FieldCodes>\s</o:FieldCodes>
          </o:OLEObject>
        </w:object>
      </w:r>
      <w:r w:rsidR="00D03B78">
        <w:instrText xml:space="preserve"> </w:instrText>
      </w:r>
      <w:r w:rsidR="00D03B78">
        <w:fldChar w:fldCharType="end"/>
      </w:r>
    </w:p>
    <w:p w:rsidR="00D03B78" w:rsidRDefault="00D03B78">
      <w:pPr>
        <w:rPr>
          <w:caps/>
          <w:color w:val="0070C0"/>
        </w:rPr>
      </w:pPr>
    </w:p>
    <w:p w:rsidR="00334A02" w:rsidRDefault="00334A02">
      <w:pPr>
        <w:pStyle w:val="TableofContentsHeading"/>
        <w:ind w:left="708" w:hanging="708"/>
      </w:pPr>
      <w:bookmarkStart w:id="16" w:name="TOC"/>
      <w:r>
        <w:t>Note by the secretariat</w:t>
      </w:r>
    </w:p>
    <w:p w:rsidR="00334A02" w:rsidRDefault="00334A02" w:rsidP="00334A02">
      <w:pPr>
        <w:pStyle w:val="BodyText"/>
      </w:pPr>
      <w:r>
        <w:t>This document describes the method of classifying policy data collected by the Fisheries Committee. This data is intended to support analysis of the nature and impacts of policies in fisheries. This version of the document contains revisions based on comments received at the 116th Session and thereafter. Delegates are asked to approve this document with the understanding that this means that this version of the GFT database will now replace the old version in data requests. This document may be updated again in the future on the basis of additional deliberation by the Committee. Delegates are also asked to confirm the change of name of this new database to "Fisheries Support Estimate" or FSE.</w:t>
      </w:r>
    </w:p>
    <w:p w:rsidR="00334A02" w:rsidRDefault="00334A02">
      <w:pPr>
        <w:tabs>
          <w:tab w:val="clear" w:pos="850"/>
          <w:tab w:val="clear" w:pos="1191"/>
          <w:tab w:val="clear" w:pos="1531"/>
        </w:tabs>
        <w:jc w:val="left"/>
      </w:pPr>
      <w:r>
        <w:br w:type="page"/>
      </w:r>
    </w:p>
    <w:p w:rsidR="00334A02" w:rsidRPr="00334A02" w:rsidRDefault="00334A02" w:rsidP="00334A02">
      <w:pPr>
        <w:pStyle w:val="BodyText"/>
      </w:pPr>
    </w:p>
    <w:p w:rsidR="009330FF" w:rsidRPr="00334A02" w:rsidRDefault="009330FF">
      <w:pPr>
        <w:pStyle w:val="TableofContentsHeading"/>
        <w:ind w:left="708" w:hanging="708"/>
      </w:pPr>
      <w:r w:rsidRPr="00334A02">
        <w:t>Table of contents</w:t>
      </w:r>
    </w:p>
    <w:p w:rsidR="00661295" w:rsidRDefault="009330FF">
      <w:pPr>
        <w:pStyle w:val="TOC1"/>
        <w:rPr>
          <w:rFonts w:asciiTheme="minorHAnsi" w:eastAsiaTheme="minorEastAsia" w:hAnsiTheme="minorHAnsi" w:cstheme="minorBidi"/>
          <w:caps w:val="0"/>
          <w:noProof/>
          <w:lang w:eastAsia="en-GB"/>
        </w:rPr>
      </w:pPr>
      <w:r>
        <w:rPr>
          <w:b/>
          <w:noProof/>
        </w:rPr>
        <w:fldChar w:fldCharType="begin"/>
      </w:r>
      <w:r>
        <w:rPr>
          <w:b/>
          <w:noProof/>
        </w:rPr>
        <w:instrText xml:space="preserve"> TOC \o "1-3" \t "Summary Heading,1,Preface Heading,1,Conclusion Heading,1,Bibliography Heading,1,Appendix Heading,1,Annex Heading,1,Glossary Heading,1,Index Heading,1,Executive Summary Heading,1,Foreword Heading,1,Annexes Heading,1,Part Heading,1,Introduction Heading,1" \h</w:instrText>
      </w:r>
      <w:r>
        <w:rPr>
          <w:b/>
          <w:noProof/>
        </w:rPr>
        <w:fldChar w:fldCharType="separate"/>
      </w:r>
      <w:hyperlink w:anchor="_Toc445973515" w:history="1">
        <w:r w:rsidR="00661295" w:rsidRPr="00FA28F5">
          <w:rPr>
            <w:rStyle w:val="Hyperlink"/>
            <w:noProof/>
          </w:rPr>
          <w:fldChar w:fldCharType="begin"/>
        </w:r>
        <w:r w:rsidR="00661295" w:rsidRPr="00FA28F5">
          <w:rPr>
            <w:rStyle w:val="Hyperlink"/>
            <w:noProof/>
          </w:rPr>
          <w:instrText xml:space="preserve"> MACROBUTTON NUMBERING </w:instrText>
        </w:r>
        <w:r w:rsidR="00661295" w:rsidRPr="00FA28F5">
          <w:rPr>
            <w:rStyle w:val="Hyperlink"/>
            <w:noProof/>
          </w:rPr>
          <w:fldChar w:fldCharType="begin"/>
        </w:r>
        <w:r w:rsidR="00661295" w:rsidRPr="00FA28F5">
          <w:rPr>
            <w:rStyle w:val="Hyperlink"/>
            <w:noProof/>
          </w:rPr>
          <w:instrText xml:space="preserve"> SEQ  cpara \h \r 0</w:instrText>
        </w:r>
        <w:r w:rsidR="00661295" w:rsidRPr="00FA28F5">
          <w:rPr>
            <w:rStyle w:val="Hyperlink"/>
            <w:noProof/>
          </w:rPr>
          <w:fldChar w:fldCharType="end"/>
        </w:r>
        <w:r w:rsidR="00661295" w:rsidRPr="00FA28F5">
          <w:rPr>
            <w:rStyle w:val="Hyperlink"/>
            <w:noProof/>
          </w:rPr>
          <w:fldChar w:fldCharType="begin"/>
        </w:r>
        <w:r w:rsidR="00661295" w:rsidRPr="00FA28F5">
          <w:rPr>
            <w:rStyle w:val="Hyperlink"/>
            <w:noProof/>
          </w:rPr>
          <w:instrText xml:space="preserve"> SEQ  ccount \h</w:instrText>
        </w:r>
        <w:r w:rsidR="00661295" w:rsidRPr="00FA28F5">
          <w:rPr>
            <w:rStyle w:val="Hyperlink"/>
            <w:noProof/>
          </w:rPr>
          <w:fldChar w:fldCharType="end"/>
        </w:r>
        <w:r w:rsidR="00661295" w:rsidRPr="00FA28F5">
          <w:rPr>
            <w:rStyle w:val="Hyperlink"/>
            <w:noProof/>
          </w:rPr>
          <w:fldChar w:fldCharType="end"/>
        </w:r>
        <w:r w:rsidR="00661295" w:rsidRPr="00FA28F5">
          <w:rPr>
            <w:rStyle w:val="Hyperlink"/>
            <w:noProof/>
          </w:rPr>
          <w:t>Chapter 1   Introduction</w:t>
        </w:r>
        <w:r w:rsidR="00661295">
          <w:rPr>
            <w:noProof/>
          </w:rPr>
          <w:tab/>
        </w:r>
        <w:r w:rsidR="00661295">
          <w:rPr>
            <w:noProof/>
          </w:rPr>
          <w:fldChar w:fldCharType="begin"/>
        </w:r>
        <w:r w:rsidR="00661295">
          <w:rPr>
            <w:noProof/>
          </w:rPr>
          <w:instrText xml:space="preserve"> PAGEREF _Toc445973515 \h </w:instrText>
        </w:r>
        <w:r w:rsidR="00661295">
          <w:rPr>
            <w:noProof/>
          </w:rPr>
        </w:r>
        <w:r w:rsidR="00661295">
          <w:rPr>
            <w:noProof/>
          </w:rPr>
          <w:fldChar w:fldCharType="separate"/>
        </w:r>
        <w:r w:rsidR="0042183E">
          <w:rPr>
            <w:noProof/>
          </w:rPr>
          <w:t>5</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16" w:history="1">
        <w:r w:rsidR="00661295" w:rsidRPr="00FA28F5">
          <w:rPr>
            <w:rStyle w:val="Hyperlink"/>
            <w:noProof/>
          </w:rPr>
          <w:t>1.1.</w:t>
        </w:r>
        <w:r w:rsidR="00661295">
          <w:rPr>
            <w:rFonts w:asciiTheme="minorHAnsi" w:eastAsiaTheme="minorEastAsia" w:hAnsiTheme="minorHAnsi" w:cstheme="minorBidi"/>
            <w:noProof/>
            <w:lang w:eastAsia="en-GB"/>
          </w:rPr>
          <w:tab/>
        </w:r>
        <w:r w:rsidR="00661295" w:rsidRPr="00FA28F5">
          <w:rPr>
            <w:rStyle w:val="Hyperlink"/>
            <w:noProof/>
          </w:rPr>
          <w:t>Objectives</w:t>
        </w:r>
        <w:r w:rsidR="00661295">
          <w:rPr>
            <w:noProof/>
          </w:rPr>
          <w:tab/>
        </w:r>
        <w:r w:rsidR="00661295">
          <w:rPr>
            <w:noProof/>
          </w:rPr>
          <w:fldChar w:fldCharType="begin"/>
        </w:r>
        <w:r w:rsidR="00661295">
          <w:rPr>
            <w:noProof/>
          </w:rPr>
          <w:instrText xml:space="preserve"> PAGEREF _Toc445973516 \h </w:instrText>
        </w:r>
        <w:r w:rsidR="00661295">
          <w:rPr>
            <w:noProof/>
          </w:rPr>
        </w:r>
        <w:r w:rsidR="00661295">
          <w:rPr>
            <w:noProof/>
          </w:rPr>
          <w:fldChar w:fldCharType="separate"/>
        </w:r>
        <w:r>
          <w:rPr>
            <w:noProof/>
          </w:rPr>
          <w:t>5</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17" w:history="1">
        <w:r w:rsidR="00661295" w:rsidRPr="00FA28F5">
          <w:rPr>
            <w:rStyle w:val="Hyperlink"/>
            <w:noProof/>
          </w:rPr>
          <w:t>1.2.</w:t>
        </w:r>
        <w:r w:rsidR="00661295">
          <w:rPr>
            <w:rFonts w:asciiTheme="minorHAnsi" w:eastAsiaTheme="minorEastAsia" w:hAnsiTheme="minorHAnsi" w:cstheme="minorBidi"/>
            <w:noProof/>
            <w:lang w:eastAsia="en-GB"/>
          </w:rPr>
          <w:tab/>
        </w:r>
        <w:r w:rsidR="00661295" w:rsidRPr="00FA28F5">
          <w:rPr>
            <w:rStyle w:val="Hyperlink"/>
            <w:noProof/>
          </w:rPr>
          <w:t>Target readership</w:t>
        </w:r>
        <w:r w:rsidR="00661295">
          <w:rPr>
            <w:noProof/>
          </w:rPr>
          <w:tab/>
        </w:r>
        <w:r w:rsidR="00661295">
          <w:rPr>
            <w:noProof/>
          </w:rPr>
          <w:fldChar w:fldCharType="begin"/>
        </w:r>
        <w:r w:rsidR="00661295">
          <w:rPr>
            <w:noProof/>
          </w:rPr>
          <w:instrText xml:space="preserve"> PAGEREF _Toc445973517 \h </w:instrText>
        </w:r>
        <w:r w:rsidR="00661295">
          <w:rPr>
            <w:noProof/>
          </w:rPr>
        </w:r>
        <w:r w:rsidR="00661295">
          <w:rPr>
            <w:noProof/>
          </w:rPr>
          <w:fldChar w:fldCharType="separate"/>
        </w:r>
        <w:r>
          <w:rPr>
            <w:noProof/>
          </w:rPr>
          <w:t>5</w:t>
        </w:r>
        <w:r w:rsidR="00661295">
          <w:rPr>
            <w:noProof/>
          </w:rPr>
          <w:fldChar w:fldCharType="end"/>
        </w:r>
      </w:hyperlink>
    </w:p>
    <w:p w:rsidR="00661295" w:rsidRDefault="0042183E">
      <w:pPr>
        <w:pStyle w:val="TOC1"/>
        <w:rPr>
          <w:rFonts w:asciiTheme="minorHAnsi" w:eastAsiaTheme="minorEastAsia" w:hAnsiTheme="minorHAnsi" w:cstheme="minorBidi"/>
          <w:caps w:val="0"/>
          <w:noProof/>
          <w:lang w:eastAsia="en-GB"/>
        </w:rPr>
      </w:pPr>
      <w:hyperlink w:anchor="_Toc445973518" w:history="1">
        <w:r w:rsidR="00661295" w:rsidRPr="00FA28F5">
          <w:rPr>
            <w:rStyle w:val="Hyperlink"/>
            <w:noProof/>
          </w:rPr>
          <w:fldChar w:fldCharType="begin"/>
        </w:r>
        <w:r w:rsidR="00661295" w:rsidRPr="00FA28F5">
          <w:rPr>
            <w:rStyle w:val="Hyperlink"/>
            <w:noProof/>
          </w:rPr>
          <w:instrText xml:space="preserve"> MACROBUTTON NUMBERING </w:instrText>
        </w:r>
        <w:r w:rsidR="00661295" w:rsidRPr="00FA28F5">
          <w:rPr>
            <w:rStyle w:val="Hyperlink"/>
            <w:noProof/>
          </w:rPr>
          <w:fldChar w:fldCharType="begin"/>
        </w:r>
        <w:r w:rsidR="00661295" w:rsidRPr="00FA28F5">
          <w:rPr>
            <w:rStyle w:val="Hyperlink"/>
            <w:noProof/>
          </w:rPr>
          <w:instrText xml:space="preserve"> SEQ  cpara \h \r 0</w:instrText>
        </w:r>
        <w:r w:rsidR="00661295" w:rsidRPr="00FA28F5">
          <w:rPr>
            <w:rStyle w:val="Hyperlink"/>
            <w:noProof/>
          </w:rPr>
          <w:fldChar w:fldCharType="end"/>
        </w:r>
        <w:r w:rsidR="00661295" w:rsidRPr="00FA28F5">
          <w:rPr>
            <w:rStyle w:val="Hyperlink"/>
            <w:noProof/>
          </w:rPr>
          <w:fldChar w:fldCharType="begin"/>
        </w:r>
        <w:r w:rsidR="00661295" w:rsidRPr="00FA28F5">
          <w:rPr>
            <w:rStyle w:val="Hyperlink"/>
            <w:noProof/>
          </w:rPr>
          <w:instrText xml:space="preserve"> SEQ  ccount \h</w:instrText>
        </w:r>
        <w:r w:rsidR="00661295" w:rsidRPr="00FA28F5">
          <w:rPr>
            <w:rStyle w:val="Hyperlink"/>
            <w:noProof/>
          </w:rPr>
          <w:fldChar w:fldCharType="end"/>
        </w:r>
        <w:r w:rsidR="00661295" w:rsidRPr="00FA28F5">
          <w:rPr>
            <w:rStyle w:val="Hyperlink"/>
            <w:noProof/>
          </w:rPr>
          <w:fldChar w:fldCharType="end"/>
        </w:r>
        <w:r w:rsidR="00661295" w:rsidRPr="00FA28F5">
          <w:rPr>
            <w:rStyle w:val="Hyperlink"/>
            <w:noProof/>
          </w:rPr>
          <w:t>Chapter 2   Purpose and scope of the OECD fisheries support estimate</w:t>
        </w:r>
        <w:r w:rsidR="00661295">
          <w:rPr>
            <w:noProof/>
          </w:rPr>
          <w:tab/>
        </w:r>
        <w:r w:rsidR="00661295">
          <w:rPr>
            <w:noProof/>
          </w:rPr>
          <w:fldChar w:fldCharType="begin"/>
        </w:r>
        <w:r w:rsidR="00661295">
          <w:rPr>
            <w:noProof/>
          </w:rPr>
          <w:instrText xml:space="preserve"> PAGEREF _Toc445973518 \h </w:instrText>
        </w:r>
        <w:r w:rsidR="00661295">
          <w:rPr>
            <w:noProof/>
          </w:rPr>
        </w:r>
        <w:r w:rsidR="00661295">
          <w:rPr>
            <w:noProof/>
          </w:rPr>
          <w:fldChar w:fldCharType="separate"/>
        </w:r>
        <w:r>
          <w:rPr>
            <w:noProof/>
          </w:rPr>
          <w:t>6</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19" w:history="1">
        <w:r w:rsidR="00661295" w:rsidRPr="00FA28F5">
          <w:rPr>
            <w:rStyle w:val="Hyperlink"/>
            <w:noProof/>
          </w:rPr>
          <w:t>2.1.</w:t>
        </w:r>
        <w:r w:rsidR="00661295">
          <w:rPr>
            <w:rFonts w:asciiTheme="minorHAnsi" w:eastAsiaTheme="minorEastAsia" w:hAnsiTheme="minorHAnsi" w:cstheme="minorBidi"/>
            <w:noProof/>
            <w:lang w:eastAsia="en-GB"/>
          </w:rPr>
          <w:tab/>
        </w:r>
        <w:r w:rsidR="00661295" w:rsidRPr="00FA28F5">
          <w:rPr>
            <w:rStyle w:val="Hyperlink"/>
            <w:noProof/>
          </w:rPr>
          <w:t>Why measure support to fisheries?</w:t>
        </w:r>
        <w:r w:rsidR="00661295">
          <w:rPr>
            <w:noProof/>
          </w:rPr>
          <w:tab/>
        </w:r>
        <w:r w:rsidR="00661295">
          <w:rPr>
            <w:noProof/>
          </w:rPr>
          <w:fldChar w:fldCharType="begin"/>
        </w:r>
        <w:r w:rsidR="00661295">
          <w:rPr>
            <w:noProof/>
          </w:rPr>
          <w:instrText xml:space="preserve"> PAGEREF _Toc445973519 \h </w:instrText>
        </w:r>
        <w:r w:rsidR="00661295">
          <w:rPr>
            <w:noProof/>
          </w:rPr>
        </w:r>
        <w:r w:rsidR="00661295">
          <w:rPr>
            <w:noProof/>
          </w:rPr>
          <w:fldChar w:fldCharType="separate"/>
        </w:r>
        <w:r>
          <w:rPr>
            <w:noProof/>
          </w:rPr>
          <w:t>6</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20" w:history="1">
        <w:r w:rsidR="00661295" w:rsidRPr="00FA28F5">
          <w:rPr>
            <w:rStyle w:val="Hyperlink"/>
            <w:noProof/>
          </w:rPr>
          <w:t>2.2.</w:t>
        </w:r>
        <w:r w:rsidR="00661295">
          <w:rPr>
            <w:rFonts w:asciiTheme="minorHAnsi" w:eastAsiaTheme="minorEastAsia" w:hAnsiTheme="minorHAnsi" w:cstheme="minorBidi"/>
            <w:noProof/>
            <w:lang w:eastAsia="en-GB"/>
          </w:rPr>
          <w:tab/>
        </w:r>
        <w:r w:rsidR="00661295" w:rsidRPr="00FA28F5">
          <w:rPr>
            <w:rStyle w:val="Hyperlink"/>
            <w:noProof/>
          </w:rPr>
          <w:t>Determining the scope of inclusion of policies and how to measure and classify them</w:t>
        </w:r>
        <w:r w:rsidR="00661295">
          <w:rPr>
            <w:noProof/>
          </w:rPr>
          <w:tab/>
        </w:r>
        <w:r w:rsidR="00661295">
          <w:rPr>
            <w:noProof/>
          </w:rPr>
          <w:fldChar w:fldCharType="begin"/>
        </w:r>
        <w:r w:rsidR="00661295">
          <w:rPr>
            <w:noProof/>
          </w:rPr>
          <w:instrText xml:space="preserve"> PAGEREF _Toc445973520 \h </w:instrText>
        </w:r>
        <w:r w:rsidR="00661295">
          <w:rPr>
            <w:noProof/>
          </w:rPr>
        </w:r>
        <w:r w:rsidR="00661295">
          <w:rPr>
            <w:noProof/>
          </w:rPr>
          <w:fldChar w:fldCharType="separate"/>
        </w:r>
        <w:r>
          <w:rPr>
            <w:noProof/>
          </w:rPr>
          <w:t>7</w:t>
        </w:r>
        <w:r w:rsidR="00661295">
          <w:rPr>
            <w:noProof/>
          </w:rPr>
          <w:fldChar w:fldCharType="end"/>
        </w:r>
      </w:hyperlink>
    </w:p>
    <w:p w:rsidR="00661295" w:rsidRDefault="0042183E">
      <w:pPr>
        <w:pStyle w:val="TOC1"/>
        <w:rPr>
          <w:rFonts w:asciiTheme="minorHAnsi" w:eastAsiaTheme="minorEastAsia" w:hAnsiTheme="minorHAnsi" w:cstheme="minorBidi"/>
          <w:caps w:val="0"/>
          <w:noProof/>
          <w:lang w:eastAsia="en-GB"/>
        </w:rPr>
      </w:pPr>
      <w:hyperlink w:anchor="_Toc445973521" w:history="1">
        <w:r w:rsidR="00661295" w:rsidRPr="00FA28F5">
          <w:rPr>
            <w:rStyle w:val="Hyperlink"/>
            <w:noProof/>
          </w:rPr>
          <w:t>CHAPTER 3.  classifying policies</w:t>
        </w:r>
        <w:r w:rsidR="00661295">
          <w:rPr>
            <w:noProof/>
          </w:rPr>
          <w:tab/>
        </w:r>
        <w:r w:rsidR="00661295">
          <w:rPr>
            <w:noProof/>
          </w:rPr>
          <w:fldChar w:fldCharType="begin"/>
        </w:r>
        <w:r w:rsidR="00661295">
          <w:rPr>
            <w:noProof/>
          </w:rPr>
          <w:instrText xml:space="preserve"> PAGEREF _Toc445973521 \h </w:instrText>
        </w:r>
        <w:r w:rsidR="00661295">
          <w:rPr>
            <w:noProof/>
          </w:rPr>
        </w:r>
        <w:r w:rsidR="00661295">
          <w:rPr>
            <w:noProof/>
          </w:rPr>
          <w:fldChar w:fldCharType="separate"/>
        </w:r>
        <w:r>
          <w:rPr>
            <w:noProof/>
          </w:rPr>
          <w:t>9</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22" w:history="1">
        <w:r w:rsidR="00661295" w:rsidRPr="00FA28F5">
          <w:rPr>
            <w:rStyle w:val="Hyperlink"/>
            <w:noProof/>
          </w:rPr>
          <w:t>3.1.</w:t>
        </w:r>
        <w:r w:rsidR="00661295">
          <w:rPr>
            <w:rFonts w:asciiTheme="minorHAnsi" w:eastAsiaTheme="minorEastAsia" w:hAnsiTheme="minorHAnsi" w:cstheme="minorBidi"/>
            <w:noProof/>
            <w:lang w:eastAsia="en-GB"/>
          </w:rPr>
          <w:tab/>
        </w:r>
        <w:r w:rsidR="00661295" w:rsidRPr="00FA28F5">
          <w:rPr>
            <w:rStyle w:val="Hyperlink"/>
            <w:noProof/>
          </w:rPr>
          <w:t>Classifying and labelling policies that support fishers individually (ITF)</w:t>
        </w:r>
        <w:r w:rsidR="00661295">
          <w:rPr>
            <w:noProof/>
          </w:rPr>
          <w:tab/>
        </w:r>
        <w:r w:rsidR="00661295">
          <w:rPr>
            <w:noProof/>
          </w:rPr>
          <w:fldChar w:fldCharType="begin"/>
        </w:r>
        <w:r w:rsidR="00661295">
          <w:rPr>
            <w:noProof/>
          </w:rPr>
          <w:instrText xml:space="preserve"> PAGEREF _Toc445973522 \h </w:instrText>
        </w:r>
        <w:r w:rsidR="00661295">
          <w:rPr>
            <w:noProof/>
          </w:rPr>
        </w:r>
        <w:r w:rsidR="00661295">
          <w:rPr>
            <w:noProof/>
          </w:rPr>
          <w:fldChar w:fldCharType="separate"/>
        </w:r>
        <w:r>
          <w:rPr>
            <w:noProof/>
          </w:rPr>
          <w:t>9</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23" w:history="1">
        <w:r w:rsidR="00661295" w:rsidRPr="00FA28F5">
          <w:rPr>
            <w:rStyle w:val="Hyperlink"/>
            <w:noProof/>
          </w:rPr>
          <w:t>3.2.</w:t>
        </w:r>
        <w:r w:rsidR="00661295">
          <w:rPr>
            <w:rFonts w:asciiTheme="minorHAnsi" w:eastAsiaTheme="minorEastAsia" w:hAnsiTheme="minorHAnsi" w:cstheme="minorBidi"/>
            <w:noProof/>
            <w:lang w:eastAsia="en-GB"/>
          </w:rPr>
          <w:tab/>
        </w:r>
        <w:r w:rsidR="00661295" w:rsidRPr="00FA28F5">
          <w:rPr>
            <w:rStyle w:val="Hyperlink"/>
            <w:noProof/>
          </w:rPr>
          <w:t>Classifying policies that support fishers collectively (GSSE)</w:t>
        </w:r>
        <w:r w:rsidR="00661295">
          <w:rPr>
            <w:noProof/>
          </w:rPr>
          <w:tab/>
        </w:r>
        <w:r w:rsidR="00661295">
          <w:rPr>
            <w:noProof/>
          </w:rPr>
          <w:fldChar w:fldCharType="begin"/>
        </w:r>
        <w:r w:rsidR="00661295">
          <w:rPr>
            <w:noProof/>
          </w:rPr>
          <w:instrText xml:space="preserve"> PAGEREF _Toc445973523 \h </w:instrText>
        </w:r>
        <w:r w:rsidR="00661295">
          <w:rPr>
            <w:noProof/>
          </w:rPr>
        </w:r>
        <w:r w:rsidR="00661295">
          <w:rPr>
            <w:noProof/>
          </w:rPr>
          <w:fldChar w:fldCharType="separate"/>
        </w:r>
        <w:r>
          <w:rPr>
            <w:noProof/>
          </w:rPr>
          <w:t>11</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24" w:history="1">
        <w:r w:rsidR="00661295" w:rsidRPr="00FA28F5">
          <w:rPr>
            <w:rStyle w:val="Hyperlink"/>
            <w:noProof/>
          </w:rPr>
          <w:t>3.3.</w:t>
        </w:r>
        <w:r w:rsidR="00661295">
          <w:rPr>
            <w:rFonts w:asciiTheme="minorHAnsi" w:eastAsiaTheme="minorEastAsia" w:hAnsiTheme="minorHAnsi" w:cstheme="minorBidi"/>
            <w:noProof/>
            <w:lang w:eastAsia="en-GB"/>
          </w:rPr>
          <w:tab/>
        </w:r>
        <w:r w:rsidR="00661295" w:rsidRPr="00FA28F5">
          <w:rPr>
            <w:rStyle w:val="Hyperlink"/>
            <w:noProof/>
          </w:rPr>
          <w:t>Classifying cost-recovery items</w:t>
        </w:r>
        <w:r w:rsidR="00661295">
          <w:rPr>
            <w:noProof/>
          </w:rPr>
          <w:tab/>
        </w:r>
        <w:r w:rsidR="00661295">
          <w:rPr>
            <w:noProof/>
          </w:rPr>
          <w:fldChar w:fldCharType="begin"/>
        </w:r>
        <w:r w:rsidR="00661295">
          <w:rPr>
            <w:noProof/>
          </w:rPr>
          <w:instrText xml:space="preserve"> PAGEREF _Toc445973524 \h </w:instrText>
        </w:r>
        <w:r w:rsidR="00661295">
          <w:rPr>
            <w:noProof/>
          </w:rPr>
        </w:r>
        <w:r w:rsidR="00661295">
          <w:rPr>
            <w:noProof/>
          </w:rPr>
          <w:fldChar w:fldCharType="separate"/>
        </w:r>
        <w:r>
          <w:rPr>
            <w:noProof/>
          </w:rPr>
          <w:t>13</w:t>
        </w:r>
        <w:r w:rsidR="00661295">
          <w:rPr>
            <w:noProof/>
          </w:rPr>
          <w:fldChar w:fldCharType="end"/>
        </w:r>
      </w:hyperlink>
    </w:p>
    <w:p w:rsidR="00661295" w:rsidRDefault="0042183E">
      <w:pPr>
        <w:pStyle w:val="TOC1"/>
        <w:rPr>
          <w:rFonts w:asciiTheme="minorHAnsi" w:eastAsiaTheme="minorEastAsia" w:hAnsiTheme="minorHAnsi" w:cstheme="minorBidi"/>
          <w:caps w:val="0"/>
          <w:noProof/>
          <w:lang w:eastAsia="en-GB"/>
        </w:rPr>
      </w:pPr>
      <w:hyperlink w:anchor="_Toc445973525" w:history="1">
        <w:r w:rsidR="00661295" w:rsidRPr="00FA28F5">
          <w:rPr>
            <w:rStyle w:val="Hyperlink"/>
            <w:noProof/>
          </w:rPr>
          <w:fldChar w:fldCharType="begin"/>
        </w:r>
        <w:r w:rsidR="00661295" w:rsidRPr="00FA28F5">
          <w:rPr>
            <w:rStyle w:val="Hyperlink"/>
            <w:noProof/>
          </w:rPr>
          <w:instrText xml:space="preserve"> MACROBUTTON NUMBERING </w:instrText>
        </w:r>
        <w:r w:rsidR="00661295" w:rsidRPr="00FA28F5">
          <w:rPr>
            <w:rStyle w:val="Hyperlink"/>
            <w:noProof/>
          </w:rPr>
          <w:fldChar w:fldCharType="begin"/>
        </w:r>
        <w:r w:rsidR="00661295" w:rsidRPr="00FA28F5">
          <w:rPr>
            <w:rStyle w:val="Hyperlink"/>
            <w:noProof/>
          </w:rPr>
          <w:instrText xml:space="preserve"> SEQ  cpara \h \r 0</w:instrText>
        </w:r>
        <w:r w:rsidR="00661295" w:rsidRPr="00FA28F5">
          <w:rPr>
            <w:rStyle w:val="Hyperlink"/>
            <w:noProof/>
          </w:rPr>
          <w:fldChar w:fldCharType="end"/>
        </w:r>
        <w:r w:rsidR="00661295" w:rsidRPr="00FA28F5">
          <w:rPr>
            <w:rStyle w:val="Hyperlink"/>
            <w:noProof/>
          </w:rPr>
          <w:fldChar w:fldCharType="begin"/>
        </w:r>
        <w:r w:rsidR="00661295" w:rsidRPr="00FA28F5">
          <w:rPr>
            <w:rStyle w:val="Hyperlink"/>
            <w:noProof/>
          </w:rPr>
          <w:instrText xml:space="preserve"> SEQ  ccount \h</w:instrText>
        </w:r>
        <w:r w:rsidR="00661295" w:rsidRPr="00FA28F5">
          <w:rPr>
            <w:rStyle w:val="Hyperlink"/>
            <w:noProof/>
          </w:rPr>
          <w:fldChar w:fldCharType="end"/>
        </w:r>
        <w:r w:rsidR="00661295" w:rsidRPr="00FA28F5">
          <w:rPr>
            <w:rStyle w:val="Hyperlink"/>
            <w:noProof/>
          </w:rPr>
          <w:fldChar w:fldCharType="end"/>
        </w:r>
        <w:r w:rsidR="00661295" w:rsidRPr="00FA28F5">
          <w:rPr>
            <w:rStyle w:val="Hyperlink"/>
            <w:noProof/>
          </w:rPr>
          <w:t>Chapter 4  Fuel price differentials</w:t>
        </w:r>
        <w:r w:rsidR="00661295">
          <w:rPr>
            <w:noProof/>
          </w:rPr>
          <w:tab/>
        </w:r>
        <w:r w:rsidR="00661295">
          <w:rPr>
            <w:noProof/>
          </w:rPr>
          <w:fldChar w:fldCharType="begin"/>
        </w:r>
        <w:r w:rsidR="00661295">
          <w:rPr>
            <w:noProof/>
          </w:rPr>
          <w:instrText xml:space="preserve"> PAGEREF _Toc445973525 \h </w:instrText>
        </w:r>
        <w:r w:rsidR="00661295">
          <w:rPr>
            <w:noProof/>
          </w:rPr>
        </w:r>
        <w:r w:rsidR="00661295">
          <w:rPr>
            <w:noProof/>
          </w:rPr>
          <w:fldChar w:fldCharType="separate"/>
        </w:r>
        <w:r>
          <w:rPr>
            <w:noProof/>
          </w:rPr>
          <w:t>15</w:t>
        </w:r>
        <w:r w:rsidR="00661295">
          <w:rPr>
            <w:noProof/>
          </w:rPr>
          <w:fldChar w:fldCharType="end"/>
        </w:r>
      </w:hyperlink>
    </w:p>
    <w:p w:rsidR="00661295" w:rsidRDefault="0042183E">
      <w:pPr>
        <w:pStyle w:val="TOC2"/>
        <w:rPr>
          <w:rFonts w:asciiTheme="minorHAnsi" w:eastAsiaTheme="minorEastAsia" w:hAnsiTheme="minorHAnsi" w:cstheme="minorBidi"/>
          <w:noProof/>
          <w:lang w:eastAsia="en-GB"/>
        </w:rPr>
      </w:pPr>
      <w:hyperlink w:anchor="_Toc445973526" w:history="1">
        <w:r w:rsidR="00661295" w:rsidRPr="00FA28F5">
          <w:rPr>
            <w:rStyle w:val="Hyperlink"/>
            <w:noProof/>
          </w:rPr>
          <w:t>4.1 Calculating the unit rate of support</w:t>
        </w:r>
        <w:r w:rsidR="00661295">
          <w:rPr>
            <w:noProof/>
          </w:rPr>
          <w:tab/>
        </w:r>
        <w:r w:rsidR="00661295">
          <w:rPr>
            <w:noProof/>
          </w:rPr>
          <w:fldChar w:fldCharType="begin"/>
        </w:r>
        <w:r w:rsidR="00661295">
          <w:rPr>
            <w:noProof/>
          </w:rPr>
          <w:instrText xml:space="preserve"> PAGEREF _Toc445973526 \h </w:instrText>
        </w:r>
        <w:r w:rsidR="00661295">
          <w:rPr>
            <w:noProof/>
          </w:rPr>
        </w:r>
        <w:r w:rsidR="00661295">
          <w:rPr>
            <w:noProof/>
          </w:rPr>
          <w:fldChar w:fldCharType="separate"/>
        </w:r>
        <w:r>
          <w:rPr>
            <w:noProof/>
          </w:rPr>
          <w:t>17</w:t>
        </w:r>
        <w:r w:rsidR="00661295">
          <w:rPr>
            <w:noProof/>
          </w:rPr>
          <w:fldChar w:fldCharType="end"/>
        </w:r>
      </w:hyperlink>
    </w:p>
    <w:p w:rsidR="00661295" w:rsidRDefault="0042183E">
      <w:pPr>
        <w:pStyle w:val="TOC2"/>
        <w:rPr>
          <w:rFonts w:asciiTheme="minorHAnsi" w:eastAsiaTheme="minorEastAsia" w:hAnsiTheme="minorHAnsi" w:cstheme="minorBidi"/>
          <w:noProof/>
          <w:lang w:eastAsia="en-GB"/>
        </w:rPr>
      </w:pPr>
      <w:hyperlink w:anchor="_Toc445973527" w:history="1">
        <w:r w:rsidR="00661295" w:rsidRPr="00FA28F5">
          <w:rPr>
            <w:rStyle w:val="Hyperlink"/>
            <w:noProof/>
          </w:rPr>
          <w:t>4.2 Calculating quantity of fuel used by fishers</w:t>
        </w:r>
        <w:r w:rsidR="00661295">
          <w:rPr>
            <w:noProof/>
          </w:rPr>
          <w:tab/>
        </w:r>
        <w:r w:rsidR="00661295">
          <w:rPr>
            <w:noProof/>
          </w:rPr>
          <w:fldChar w:fldCharType="begin"/>
        </w:r>
        <w:r w:rsidR="00661295">
          <w:rPr>
            <w:noProof/>
          </w:rPr>
          <w:instrText xml:space="preserve"> PAGEREF _Toc445973527 \h </w:instrText>
        </w:r>
        <w:r w:rsidR="00661295">
          <w:rPr>
            <w:noProof/>
          </w:rPr>
        </w:r>
        <w:r w:rsidR="00661295">
          <w:rPr>
            <w:noProof/>
          </w:rPr>
          <w:fldChar w:fldCharType="separate"/>
        </w:r>
        <w:r>
          <w:rPr>
            <w:noProof/>
          </w:rPr>
          <w:t>18</w:t>
        </w:r>
        <w:r w:rsidR="00661295">
          <w:rPr>
            <w:noProof/>
          </w:rPr>
          <w:fldChar w:fldCharType="end"/>
        </w:r>
      </w:hyperlink>
    </w:p>
    <w:p w:rsidR="00661295" w:rsidRDefault="0042183E">
      <w:pPr>
        <w:pStyle w:val="TOC1"/>
        <w:rPr>
          <w:rFonts w:asciiTheme="minorHAnsi" w:eastAsiaTheme="minorEastAsia" w:hAnsiTheme="minorHAnsi" w:cstheme="minorBidi"/>
          <w:caps w:val="0"/>
          <w:noProof/>
          <w:lang w:eastAsia="en-GB"/>
        </w:rPr>
      </w:pPr>
      <w:hyperlink w:anchor="_Toc445973528" w:history="1">
        <w:r w:rsidR="00661295" w:rsidRPr="00FA28F5">
          <w:rPr>
            <w:rStyle w:val="Hyperlink"/>
            <w:noProof/>
          </w:rPr>
          <w:fldChar w:fldCharType="begin"/>
        </w:r>
        <w:r w:rsidR="00661295" w:rsidRPr="00FA28F5">
          <w:rPr>
            <w:rStyle w:val="Hyperlink"/>
            <w:noProof/>
          </w:rPr>
          <w:instrText xml:space="preserve"> MACROBUTTON NUMBERING </w:instrText>
        </w:r>
        <w:r w:rsidR="00661295" w:rsidRPr="00FA28F5">
          <w:rPr>
            <w:rStyle w:val="Hyperlink"/>
            <w:noProof/>
          </w:rPr>
          <w:fldChar w:fldCharType="begin"/>
        </w:r>
        <w:r w:rsidR="00661295" w:rsidRPr="00FA28F5">
          <w:rPr>
            <w:rStyle w:val="Hyperlink"/>
            <w:noProof/>
          </w:rPr>
          <w:instrText xml:space="preserve"> SEQ  cpara \h \r 0</w:instrText>
        </w:r>
        <w:r w:rsidR="00661295" w:rsidRPr="00FA28F5">
          <w:rPr>
            <w:rStyle w:val="Hyperlink"/>
            <w:noProof/>
          </w:rPr>
          <w:fldChar w:fldCharType="end"/>
        </w:r>
        <w:r w:rsidR="00661295" w:rsidRPr="00FA28F5">
          <w:rPr>
            <w:rStyle w:val="Hyperlink"/>
            <w:noProof/>
          </w:rPr>
          <w:fldChar w:fldCharType="begin"/>
        </w:r>
        <w:r w:rsidR="00661295" w:rsidRPr="00FA28F5">
          <w:rPr>
            <w:rStyle w:val="Hyperlink"/>
            <w:noProof/>
          </w:rPr>
          <w:instrText xml:space="preserve"> SEQ  ccount \h</w:instrText>
        </w:r>
        <w:r w:rsidR="00661295" w:rsidRPr="00FA28F5">
          <w:rPr>
            <w:rStyle w:val="Hyperlink"/>
            <w:noProof/>
          </w:rPr>
          <w:fldChar w:fldCharType="end"/>
        </w:r>
        <w:r w:rsidR="00661295" w:rsidRPr="00FA28F5">
          <w:rPr>
            <w:rStyle w:val="Hyperlink"/>
            <w:noProof/>
          </w:rPr>
          <w:fldChar w:fldCharType="end"/>
        </w:r>
        <w:r w:rsidR="00661295" w:rsidRPr="00FA28F5">
          <w:rPr>
            <w:rStyle w:val="Hyperlink"/>
            <w:noProof/>
          </w:rPr>
          <w:t>Chapter 5  Estimating policy transfers:  Budgetary transfers</w:t>
        </w:r>
        <w:r w:rsidR="00661295">
          <w:rPr>
            <w:noProof/>
          </w:rPr>
          <w:tab/>
        </w:r>
        <w:r w:rsidR="00661295">
          <w:rPr>
            <w:noProof/>
          </w:rPr>
          <w:fldChar w:fldCharType="begin"/>
        </w:r>
        <w:r w:rsidR="00661295">
          <w:rPr>
            <w:noProof/>
          </w:rPr>
          <w:instrText xml:space="preserve"> PAGEREF _Toc445973528 \h </w:instrText>
        </w:r>
        <w:r w:rsidR="00661295">
          <w:rPr>
            <w:noProof/>
          </w:rPr>
        </w:r>
        <w:r w:rsidR="00661295">
          <w:rPr>
            <w:noProof/>
          </w:rPr>
          <w:fldChar w:fldCharType="separate"/>
        </w:r>
        <w:r>
          <w:rPr>
            <w:noProof/>
          </w:rPr>
          <w:t>19</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29" w:history="1">
        <w:r w:rsidR="00661295" w:rsidRPr="00FA28F5">
          <w:rPr>
            <w:rStyle w:val="Hyperlink"/>
            <w:noProof/>
          </w:rPr>
          <w:t>5.1.</w:t>
        </w:r>
        <w:r w:rsidR="00661295">
          <w:rPr>
            <w:rFonts w:asciiTheme="minorHAnsi" w:eastAsiaTheme="minorEastAsia" w:hAnsiTheme="minorHAnsi" w:cstheme="minorBidi"/>
            <w:noProof/>
            <w:lang w:eastAsia="en-GB"/>
          </w:rPr>
          <w:tab/>
        </w:r>
        <w:r w:rsidR="00661295" w:rsidRPr="00FA28F5">
          <w:rPr>
            <w:rStyle w:val="Hyperlink"/>
            <w:noProof/>
          </w:rPr>
          <w:t>Complete coverage of institutions, administrative levels and financing instruments</w:t>
        </w:r>
        <w:r w:rsidR="00661295">
          <w:rPr>
            <w:noProof/>
          </w:rPr>
          <w:tab/>
        </w:r>
        <w:r w:rsidR="00661295">
          <w:rPr>
            <w:noProof/>
          </w:rPr>
          <w:fldChar w:fldCharType="begin"/>
        </w:r>
        <w:r w:rsidR="00661295">
          <w:rPr>
            <w:noProof/>
          </w:rPr>
          <w:instrText xml:space="preserve"> PAGEREF _Toc445973529 \h </w:instrText>
        </w:r>
        <w:r w:rsidR="00661295">
          <w:rPr>
            <w:noProof/>
          </w:rPr>
        </w:r>
        <w:r w:rsidR="00661295">
          <w:rPr>
            <w:noProof/>
          </w:rPr>
          <w:fldChar w:fldCharType="separate"/>
        </w:r>
        <w:r>
          <w:rPr>
            <w:noProof/>
          </w:rPr>
          <w:t>20</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30" w:history="1">
        <w:r w:rsidR="00661295" w:rsidRPr="00FA28F5">
          <w:rPr>
            <w:rStyle w:val="Hyperlink"/>
            <w:noProof/>
          </w:rPr>
          <w:t>5.2.</w:t>
        </w:r>
        <w:r w:rsidR="00661295">
          <w:rPr>
            <w:rFonts w:asciiTheme="minorHAnsi" w:eastAsiaTheme="minorEastAsia" w:hAnsiTheme="minorHAnsi" w:cstheme="minorBidi"/>
            <w:noProof/>
            <w:lang w:eastAsia="en-GB"/>
          </w:rPr>
          <w:tab/>
        </w:r>
        <w:r w:rsidR="00661295" w:rsidRPr="00FA28F5">
          <w:rPr>
            <w:rStyle w:val="Hyperlink"/>
            <w:noProof/>
          </w:rPr>
          <w:t>Accounting of effectively disbursed funds</w:t>
        </w:r>
        <w:r w:rsidR="00661295">
          <w:rPr>
            <w:noProof/>
          </w:rPr>
          <w:tab/>
        </w:r>
        <w:r w:rsidR="00661295">
          <w:rPr>
            <w:noProof/>
          </w:rPr>
          <w:fldChar w:fldCharType="begin"/>
        </w:r>
        <w:r w:rsidR="00661295">
          <w:rPr>
            <w:noProof/>
          </w:rPr>
          <w:instrText xml:space="preserve"> PAGEREF _Toc445973530 \h </w:instrText>
        </w:r>
        <w:r w:rsidR="00661295">
          <w:rPr>
            <w:noProof/>
          </w:rPr>
        </w:r>
        <w:r w:rsidR="00661295">
          <w:rPr>
            <w:noProof/>
          </w:rPr>
          <w:fldChar w:fldCharType="separate"/>
        </w:r>
        <w:r>
          <w:rPr>
            <w:noProof/>
          </w:rPr>
          <w:t>20</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31" w:history="1">
        <w:r w:rsidR="00661295" w:rsidRPr="00FA28F5">
          <w:rPr>
            <w:rStyle w:val="Hyperlink"/>
            <w:noProof/>
          </w:rPr>
          <w:t>5.3.</w:t>
        </w:r>
        <w:r w:rsidR="00661295">
          <w:rPr>
            <w:rFonts w:asciiTheme="minorHAnsi" w:eastAsiaTheme="minorEastAsia" w:hAnsiTheme="minorHAnsi" w:cstheme="minorBidi"/>
            <w:noProof/>
            <w:lang w:eastAsia="en-GB"/>
          </w:rPr>
          <w:tab/>
        </w:r>
        <w:r w:rsidR="00661295" w:rsidRPr="00FA28F5">
          <w:rPr>
            <w:rStyle w:val="Hyperlink"/>
            <w:noProof/>
          </w:rPr>
          <w:t>Treatment of policy-administration costs</w:t>
        </w:r>
        <w:r w:rsidR="00661295">
          <w:rPr>
            <w:noProof/>
          </w:rPr>
          <w:tab/>
        </w:r>
        <w:r w:rsidR="00661295">
          <w:rPr>
            <w:noProof/>
          </w:rPr>
          <w:fldChar w:fldCharType="begin"/>
        </w:r>
        <w:r w:rsidR="00661295">
          <w:rPr>
            <w:noProof/>
          </w:rPr>
          <w:instrText xml:space="preserve"> PAGEREF _Toc445973531 \h </w:instrText>
        </w:r>
        <w:r w:rsidR="00661295">
          <w:rPr>
            <w:noProof/>
          </w:rPr>
        </w:r>
        <w:r w:rsidR="00661295">
          <w:rPr>
            <w:noProof/>
          </w:rPr>
          <w:fldChar w:fldCharType="separate"/>
        </w:r>
        <w:r>
          <w:rPr>
            <w:noProof/>
          </w:rPr>
          <w:t>21</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32" w:history="1">
        <w:r w:rsidR="00661295" w:rsidRPr="00FA28F5">
          <w:rPr>
            <w:rStyle w:val="Hyperlink"/>
            <w:noProof/>
          </w:rPr>
          <w:t>5.4.</w:t>
        </w:r>
        <w:r w:rsidR="00661295">
          <w:rPr>
            <w:rFonts w:asciiTheme="minorHAnsi" w:eastAsiaTheme="minorEastAsia" w:hAnsiTheme="minorHAnsi" w:cstheme="minorBidi"/>
            <w:noProof/>
            <w:lang w:eastAsia="en-GB"/>
          </w:rPr>
          <w:tab/>
        </w:r>
        <w:r w:rsidR="00661295" w:rsidRPr="00FA28F5">
          <w:rPr>
            <w:rStyle w:val="Hyperlink"/>
            <w:noProof/>
          </w:rPr>
          <w:t>Attribution of budgetary allocations to calendar years</w:t>
        </w:r>
        <w:r w:rsidR="00661295">
          <w:rPr>
            <w:noProof/>
          </w:rPr>
          <w:tab/>
        </w:r>
        <w:r w:rsidR="00661295">
          <w:rPr>
            <w:noProof/>
          </w:rPr>
          <w:fldChar w:fldCharType="begin"/>
        </w:r>
        <w:r w:rsidR="00661295">
          <w:rPr>
            <w:noProof/>
          </w:rPr>
          <w:instrText xml:space="preserve"> PAGEREF _Toc445973532 \h </w:instrText>
        </w:r>
        <w:r w:rsidR="00661295">
          <w:rPr>
            <w:noProof/>
          </w:rPr>
        </w:r>
        <w:r w:rsidR="00661295">
          <w:rPr>
            <w:noProof/>
          </w:rPr>
          <w:fldChar w:fldCharType="separate"/>
        </w:r>
        <w:r>
          <w:rPr>
            <w:noProof/>
          </w:rPr>
          <w:t>21</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33" w:history="1">
        <w:r w:rsidR="00661295" w:rsidRPr="00FA28F5">
          <w:rPr>
            <w:rStyle w:val="Hyperlink"/>
            <w:noProof/>
          </w:rPr>
          <w:t>5.5.</w:t>
        </w:r>
        <w:r w:rsidR="00661295">
          <w:rPr>
            <w:rFonts w:asciiTheme="minorHAnsi" w:eastAsiaTheme="minorEastAsia" w:hAnsiTheme="minorHAnsi" w:cstheme="minorBidi"/>
            <w:noProof/>
            <w:lang w:eastAsia="en-GB"/>
          </w:rPr>
          <w:tab/>
        </w:r>
        <w:r w:rsidR="00661295" w:rsidRPr="00FA28F5">
          <w:rPr>
            <w:rStyle w:val="Hyperlink"/>
            <w:noProof/>
          </w:rPr>
          <w:t>Classification of budgetary spending</w:t>
        </w:r>
        <w:r w:rsidR="00661295">
          <w:rPr>
            <w:noProof/>
          </w:rPr>
          <w:tab/>
        </w:r>
        <w:r w:rsidR="00661295">
          <w:rPr>
            <w:noProof/>
          </w:rPr>
          <w:fldChar w:fldCharType="begin"/>
        </w:r>
        <w:r w:rsidR="00661295">
          <w:rPr>
            <w:noProof/>
          </w:rPr>
          <w:instrText xml:space="preserve"> PAGEREF _Toc445973533 \h </w:instrText>
        </w:r>
        <w:r w:rsidR="00661295">
          <w:rPr>
            <w:noProof/>
          </w:rPr>
        </w:r>
        <w:r w:rsidR="00661295">
          <w:rPr>
            <w:noProof/>
          </w:rPr>
          <w:fldChar w:fldCharType="separate"/>
        </w:r>
        <w:r>
          <w:rPr>
            <w:noProof/>
          </w:rPr>
          <w:t>21</w:t>
        </w:r>
        <w:r w:rsidR="00661295">
          <w:rPr>
            <w:noProof/>
          </w:rPr>
          <w:fldChar w:fldCharType="end"/>
        </w:r>
      </w:hyperlink>
    </w:p>
    <w:p w:rsidR="00661295" w:rsidRDefault="0042183E">
      <w:pPr>
        <w:pStyle w:val="TOC1"/>
        <w:rPr>
          <w:rFonts w:asciiTheme="minorHAnsi" w:eastAsiaTheme="minorEastAsia" w:hAnsiTheme="minorHAnsi" w:cstheme="minorBidi"/>
          <w:caps w:val="0"/>
          <w:noProof/>
          <w:lang w:eastAsia="en-GB"/>
        </w:rPr>
      </w:pPr>
      <w:hyperlink w:anchor="_Toc445973534" w:history="1">
        <w:r w:rsidR="00661295" w:rsidRPr="00FA28F5">
          <w:rPr>
            <w:rStyle w:val="Hyperlink"/>
            <w:noProof/>
          </w:rPr>
          <w:fldChar w:fldCharType="begin"/>
        </w:r>
        <w:r w:rsidR="00661295" w:rsidRPr="00FA28F5">
          <w:rPr>
            <w:rStyle w:val="Hyperlink"/>
            <w:noProof/>
          </w:rPr>
          <w:instrText xml:space="preserve"> MACROBUTTON NUMBERING </w:instrText>
        </w:r>
        <w:r w:rsidR="00661295" w:rsidRPr="00FA28F5">
          <w:rPr>
            <w:rStyle w:val="Hyperlink"/>
            <w:noProof/>
          </w:rPr>
          <w:fldChar w:fldCharType="begin"/>
        </w:r>
        <w:r w:rsidR="00661295" w:rsidRPr="00FA28F5">
          <w:rPr>
            <w:rStyle w:val="Hyperlink"/>
            <w:noProof/>
          </w:rPr>
          <w:instrText xml:space="preserve"> SEQ  cpara \h \r 0</w:instrText>
        </w:r>
        <w:r w:rsidR="00661295" w:rsidRPr="00FA28F5">
          <w:rPr>
            <w:rStyle w:val="Hyperlink"/>
            <w:noProof/>
          </w:rPr>
          <w:fldChar w:fldCharType="end"/>
        </w:r>
        <w:r w:rsidR="00661295" w:rsidRPr="00FA28F5">
          <w:rPr>
            <w:rStyle w:val="Hyperlink"/>
            <w:noProof/>
          </w:rPr>
          <w:fldChar w:fldCharType="begin"/>
        </w:r>
        <w:r w:rsidR="00661295" w:rsidRPr="00FA28F5">
          <w:rPr>
            <w:rStyle w:val="Hyperlink"/>
            <w:noProof/>
          </w:rPr>
          <w:instrText xml:space="preserve"> SEQ  ccount \h</w:instrText>
        </w:r>
        <w:r w:rsidR="00661295" w:rsidRPr="00FA28F5">
          <w:rPr>
            <w:rStyle w:val="Hyperlink"/>
            <w:noProof/>
          </w:rPr>
          <w:fldChar w:fldCharType="end"/>
        </w:r>
        <w:r w:rsidR="00661295" w:rsidRPr="00FA28F5">
          <w:rPr>
            <w:rStyle w:val="Hyperlink"/>
            <w:noProof/>
          </w:rPr>
          <w:fldChar w:fldCharType="end"/>
        </w:r>
        <w:r w:rsidR="00661295" w:rsidRPr="00FA28F5">
          <w:rPr>
            <w:rStyle w:val="Hyperlink"/>
            <w:noProof/>
          </w:rPr>
          <w:t>Chapter 6  indicators of support to fishers</w:t>
        </w:r>
        <w:r w:rsidR="00661295">
          <w:rPr>
            <w:noProof/>
          </w:rPr>
          <w:tab/>
        </w:r>
        <w:r w:rsidR="00661295">
          <w:rPr>
            <w:noProof/>
          </w:rPr>
          <w:fldChar w:fldCharType="begin"/>
        </w:r>
        <w:r w:rsidR="00661295">
          <w:rPr>
            <w:noProof/>
          </w:rPr>
          <w:instrText xml:space="preserve"> PAGEREF _Toc445973534 \h </w:instrText>
        </w:r>
        <w:r w:rsidR="00661295">
          <w:rPr>
            <w:noProof/>
          </w:rPr>
        </w:r>
        <w:r w:rsidR="00661295">
          <w:rPr>
            <w:noProof/>
          </w:rPr>
          <w:fldChar w:fldCharType="separate"/>
        </w:r>
        <w:r>
          <w:rPr>
            <w:noProof/>
          </w:rPr>
          <w:t>23</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35" w:history="1">
        <w:r w:rsidR="00661295" w:rsidRPr="00FA28F5">
          <w:rPr>
            <w:rStyle w:val="Hyperlink"/>
            <w:noProof/>
          </w:rPr>
          <w:t>6.1.</w:t>
        </w:r>
        <w:r w:rsidR="00661295">
          <w:rPr>
            <w:rFonts w:asciiTheme="minorHAnsi" w:eastAsiaTheme="minorEastAsia" w:hAnsiTheme="minorHAnsi" w:cstheme="minorBidi"/>
            <w:noProof/>
            <w:lang w:eastAsia="en-GB"/>
          </w:rPr>
          <w:tab/>
        </w:r>
        <w:r w:rsidR="00661295" w:rsidRPr="00FA28F5">
          <w:rPr>
            <w:rStyle w:val="Hyperlink"/>
            <w:noProof/>
          </w:rPr>
          <w:t>Interpreting the level of support</w:t>
        </w:r>
        <w:r w:rsidR="00661295">
          <w:rPr>
            <w:noProof/>
          </w:rPr>
          <w:tab/>
        </w:r>
        <w:r w:rsidR="00661295">
          <w:rPr>
            <w:noProof/>
          </w:rPr>
          <w:fldChar w:fldCharType="begin"/>
        </w:r>
        <w:r w:rsidR="00661295">
          <w:rPr>
            <w:noProof/>
          </w:rPr>
          <w:instrText xml:space="preserve"> PAGEREF _Toc445973535 \h </w:instrText>
        </w:r>
        <w:r w:rsidR="00661295">
          <w:rPr>
            <w:noProof/>
          </w:rPr>
        </w:r>
        <w:r w:rsidR="00661295">
          <w:rPr>
            <w:noProof/>
          </w:rPr>
          <w:fldChar w:fldCharType="separate"/>
        </w:r>
        <w:r>
          <w:rPr>
            <w:noProof/>
          </w:rPr>
          <w:t>24</w:t>
        </w:r>
        <w:r w:rsidR="00661295">
          <w:rPr>
            <w:noProof/>
          </w:rPr>
          <w:fldChar w:fldCharType="end"/>
        </w:r>
      </w:hyperlink>
    </w:p>
    <w:p w:rsidR="00661295" w:rsidRDefault="0042183E">
      <w:pPr>
        <w:pStyle w:val="TOC3"/>
        <w:tabs>
          <w:tab w:val="left" w:pos="1320"/>
        </w:tabs>
        <w:rPr>
          <w:rFonts w:asciiTheme="minorHAnsi" w:eastAsiaTheme="minorEastAsia" w:hAnsiTheme="minorHAnsi" w:cstheme="minorBidi"/>
          <w:noProof/>
          <w:lang w:eastAsia="en-GB"/>
        </w:rPr>
      </w:pPr>
      <w:hyperlink w:anchor="_Toc445973536" w:history="1">
        <w:r w:rsidR="00661295" w:rsidRPr="00FA28F5">
          <w:rPr>
            <w:rStyle w:val="Hyperlink"/>
            <w:noProof/>
          </w:rPr>
          <w:t>6.1.1.</w:t>
        </w:r>
        <w:r w:rsidR="00661295">
          <w:rPr>
            <w:rFonts w:asciiTheme="minorHAnsi" w:eastAsiaTheme="minorEastAsia" w:hAnsiTheme="minorHAnsi" w:cstheme="minorBidi"/>
            <w:noProof/>
            <w:lang w:eastAsia="en-GB"/>
          </w:rPr>
          <w:tab/>
        </w:r>
        <w:r w:rsidR="00661295" w:rsidRPr="00FA28F5">
          <w:rPr>
            <w:rStyle w:val="Hyperlink"/>
            <w:noProof/>
          </w:rPr>
          <w:t>Level of support – national (aggregate) level</w:t>
        </w:r>
        <w:r w:rsidR="00661295">
          <w:rPr>
            <w:noProof/>
          </w:rPr>
          <w:tab/>
        </w:r>
        <w:r w:rsidR="00661295">
          <w:rPr>
            <w:noProof/>
          </w:rPr>
          <w:fldChar w:fldCharType="begin"/>
        </w:r>
        <w:r w:rsidR="00661295">
          <w:rPr>
            <w:noProof/>
          </w:rPr>
          <w:instrText xml:space="preserve"> PAGEREF _Toc445973536 \h </w:instrText>
        </w:r>
        <w:r w:rsidR="00661295">
          <w:rPr>
            <w:noProof/>
          </w:rPr>
        </w:r>
        <w:r w:rsidR="00661295">
          <w:rPr>
            <w:noProof/>
          </w:rPr>
          <w:fldChar w:fldCharType="separate"/>
        </w:r>
        <w:r>
          <w:rPr>
            <w:noProof/>
          </w:rPr>
          <w:t>25</w:t>
        </w:r>
        <w:r w:rsidR="00661295">
          <w:rPr>
            <w:noProof/>
          </w:rPr>
          <w:fldChar w:fldCharType="end"/>
        </w:r>
      </w:hyperlink>
    </w:p>
    <w:p w:rsidR="00661295" w:rsidRDefault="0042183E">
      <w:pPr>
        <w:pStyle w:val="TOC3"/>
        <w:tabs>
          <w:tab w:val="left" w:pos="1320"/>
        </w:tabs>
        <w:rPr>
          <w:rFonts w:asciiTheme="minorHAnsi" w:eastAsiaTheme="minorEastAsia" w:hAnsiTheme="minorHAnsi" w:cstheme="minorBidi"/>
          <w:noProof/>
          <w:lang w:eastAsia="en-GB"/>
        </w:rPr>
      </w:pPr>
      <w:hyperlink w:anchor="_Toc445973537" w:history="1">
        <w:r w:rsidR="00661295" w:rsidRPr="00FA28F5">
          <w:rPr>
            <w:rStyle w:val="Hyperlink"/>
            <w:noProof/>
          </w:rPr>
          <w:t>6.1.2.</w:t>
        </w:r>
        <w:r w:rsidR="00661295">
          <w:rPr>
            <w:rFonts w:asciiTheme="minorHAnsi" w:eastAsiaTheme="minorEastAsia" w:hAnsiTheme="minorHAnsi" w:cstheme="minorBidi"/>
            <w:noProof/>
            <w:lang w:eastAsia="en-GB"/>
          </w:rPr>
          <w:tab/>
        </w:r>
        <w:r w:rsidR="00661295" w:rsidRPr="00FA28F5">
          <w:rPr>
            <w:rStyle w:val="Hyperlink"/>
            <w:noProof/>
          </w:rPr>
          <w:t>Showing changes in support over time</w:t>
        </w:r>
        <w:r w:rsidR="00661295">
          <w:rPr>
            <w:noProof/>
          </w:rPr>
          <w:tab/>
        </w:r>
        <w:r w:rsidR="00661295">
          <w:rPr>
            <w:noProof/>
          </w:rPr>
          <w:fldChar w:fldCharType="begin"/>
        </w:r>
        <w:r w:rsidR="00661295">
          <w:rPr>
            <w:noProof/>
          </w:rPr>
          <w:instrText xml:space="preserve"> PAGEREF _Toc445973537 \h </w:instrText>
        </w:r>
        <w:r w:rsidR="00661295">
          <w:rPr>
            <w:noProof/>
          </w:rPr>
        </w:r>
        <w:r w:rsidR="00661295">
          <w:rPr>
            <w:noProof/>
          </w:rPr>
          <w:fldChar w:fldCharType="separate"/>
        </w:r>
        <w:r>
          <w:rPr>
            <w:noProof/>
          </w:rPr>
          <w:t>26</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38" w:history="1">
        <w:r w:rsidR="00661295" w:rsidRPr="00FA28F5">
          <w:rPr>
            <w:rStyle w:val="Hyperlink"/>
            <w:noProof/>
          </w:rPr>
          <w:t>6.2.</w:t>
        </w:r>
        <w:r w:rsidR="00661295">
          <w:rPr>
            <w:rFonts w:asciiTheme="minorHAnsi" w:eastAsiaTheme="minorEastAsia" w:hAnsiTheme="minorHAnsi" w:cstheme="minorBidi"/>
            <w:noProof/>
            <w:lang w:eastAsia="en-GB"/>
          </w:rPr>
          <w:tab/>
        </w:r>
        <w:r w:rsidR="00661295" w:rsidRPr="00FA28F5">
          <w:rPr>
            <w:rStyle w:val="Hyperlink"/>
            <w:noProof/>
          </w:rPr>
          <w:t>Interpreting the composition of support</w:t>
        </w:r>
        <w:r w:rsidR="00661295">
          <w:rPr>
            <w:noProof/>
          </w:rPr>
          <w:tab/>
        </w:r>
        <w:r w:rsidR="00661295">
          <w:rPr>
            <w:noProof/>
          </w:rPr>
          <w:fldChar w:fldCharType="begin"/>
        </w:r>
        <w:r w:rsidR="00661295">
          <w:rPr>
            <w:noProof/>
          </w:rPr>
          <w:instrText xml:space="preserve"> PAGEREF _Toc445973538 \h </w:instrText>
        </w:r>
        <w:r w:rsidR="00661295">
          <w:rPr>
            <w:noProof/>
          </w:rPr>
        </w:r>
        <w:r w:rsidR="00661295">
          <w:rPr>
            <w:noProof/>
          </w:rPr>
          <w:fldChar w:fldCharType="separate"/>
        </w:r>
        <w:r>
          <w:rPr>
            <w:noProof/>
          </w:rPr>
          <w:t>26</w:t>
        </w:r>
        <w:r w:rsidR="00661295">
          <w:rPr>
            <w:noProof/>
          </w:rPr>
          <w:fldChar w:fldCharType="end"/>
        </w:r>
      </w:hyperlink>
    </w:p>
    <w:p w:rsidR="00661295" w:rsidRDefault="0042183E">
      <w:pPr>
        <w:pStyle w:val="TOC3"/>
        <w:tabs>
          <w:tab w:val="left" w:pos="1320"/>
        </w:tabs>
        <w:rPr>
          <w:rFonts w:asciiTheme="minorHAnsi" w:eastAsiaTheme="minorEastAsia" w:hAnsiTheme="minorHAnsi" w:cstheme="minorBidi"/>
          <w:noProof/>
          <w:lang w:eastAsia="en-GB"/>
        </w:rPr>
      </w:pPr>
      <w:hyperlink w:anchor="_Toc445973539" w:history="1">
        <w:r w:rsidR="00661295" w:rsidRPr="00FA28F5">
          <w:rPr>
            <w:rStyle w:val="Hyperlink"/>
            <w:noProof/>
          </w:rPr>
          <w:t>6.2.1.</w:t>
        </w:r>
        <w:r w:rsidR="00661295">
          <w:rPr>
            <w:rFonts w:asciiTheme="minorHAnsi" w:eastAsiaTheme="minorEastAsia" w:hAnsiTheme="minorHAnsi" w:cstheme="minorBidi"/>
            <w:noProof/>
            <w:lang w:eastAsia="en-GB"/>
          </w:rPr>
          <w:tab/>
        </w:r>
        <w:r w:rsidR="00661295" w:rsidRPr="00FA28F5">
          <w:rPr>
            <w:rStyle w:val="Hyperlink"/>
            <w:noProof/>
          </w:rPr>
          <w:t>Composition of producer support –categories</w:t>
        </w:r>
        <w:r w:rsidR="00661295">
          <w:rPr>
            <w:noProof/>
          </w:rPr>
          <w:tab/>
        </w:r>
        <w:r w:rsidR="00661295">
          <w:rPr>
            <w:noProof/>
          </w:rPr>
          <w:fldChar w:fldCharType="begin"/>
        </w:r>
        <w:r w:rsidR="00661295">
          <w:rPr>
            <w:noProof/>
          </w:rPr>
          <w:instrText xml:space="preserve"> PAGEREF _Toc445973539 \h </w:instrText>
        </w:r>
        <w:r w:rsidR="00661295">
          <w:rPr>
            <w:noProof/>
          </w:rPr>
        </w:r>
        <w:r w:rsidR="00661295">
          <w:rPr>
            <w:noProof/>
          </w:rPr>
          <w:fldChar w:fldCharType="separate"/>
        </w:r>
        <w:r>
          <w:rPr>
            <w:noProof/>
          </w:rPr>
          <w:t>26</w:t>
        </w:r>
        <w:r w:rsidR="00661295">
          <w:rPr>
            <w:noProof/>
          </w:rPr>
          <w:fldChar w:fldCharType="end"/>
        </w:r>
      </w:hyperlink>
    </w:p>
    <w:p w:rsidR="00661295" w:rsidRDefault="0042183E">
      <w:pPr>
        <w:pStyle w:val="TOC3"/>
        <w:tabs>
          <w:tab w:val="left" w:pos="1100"/>
        </w:tabs>
        <w:rPr>
          <w:rFonts w:asciiTheme="minorHAnsi" w:eastAsiaTheme="minorEastAsia" w:hAnsiTheme="minorHAnsi" w:cstheme="minorBidi"/>
          <w:noProof/>
          <w:lang w:eastAsia="en-GB"/>
        </w:rPr>
      </w:pPr>
      <w:hyperlink w:anchor="_Toc445973540" w:history="1">
        <w:r w:rsidR="00661295" w:rsidRPr="00FA28F5">
          <w:rPr>
            <w:rStyle w:val="Hyperlink"/>
            <w:noProof/>
          </w:rPr>
          <w:t>6.2.2</w:t>
        </w:r>
        <w:r w:rsidR="00661295">
          <w:rPr>
            <w:rFonts w:asciiTheme="minorHAnsi" w:eastAsiaTheme="minorEastAsia" w:hAnsiTheme="minorHAnsi" w:cstheme="minorBidi"/>
            <w:noProof/>
            <w:lang w:eastAsia="en-GB"/>
          </w:rPr>
          <w:tab/>
        </w:r>
        <w:r w:rsidR="00661295" w:rsidRPr="00FA28F5">
          <w:rPr>
            <w:rStyle w:val="Hyperlink"/>
            <w:noProof/>
          </w:rPr>
          <w:t>Composition of producer support – labels</w:t>
        </w:r>
        <w:r w:rsidR="00661295">
          <w:rPr>
            <w:noProof/>
          </w:rPr>
          <w:tab/>
        </w:r>
        <w:r w:rsidR="00661295">
          <w:rPr>
            <w:noProof/>
          </w:rPr>
          <w:fldChar w:fldCharType="begin"/>
        </w:r>
        <w:r w:rsidR="00661295">
          <w:rPr>
            <w:noProof/>
          </w:rPr>
          <w:instrText xml:space="preserve"> PAGEREF _Toc445973540 \h </w:instrText>
        </w:r>
        <w:r w:rsidR="00661295">
          <w:rPr>
            <w:noProof/>
          </w:rPr>
        </w:r>
        <w:r w:rsidR="00661295">
          <w:rPr>
            <w:noProof/>
          </w:rPr>
          <w:fldChar w:fldCharType="separate"/>
        </w:r>
        <w:r>
          <w:rPr>
            <w:noProof/>
          </w:rPr>
          <w:t>26</w:t>
        </w:r>
        <w:r w:rsidR="00661295">
          <w:rPr>
            <w:noProof/>
          </w:rPr>
          <w:fldChar w:fldCharType="end"/>
        </w:r>
      </w:hyperlink>
    </w:p>
    <w:p w:rsidR="00661295" w:rsidRDefault="0042183E">
      <w:pPr>
        <w:pStyle w:val="TOC3"/>
        <w:tabs>
          <w:tab w:val="left" w:pos="1100"/>
        </w:tabs>
        <w:rPr>
          <w:rFonts w:asciiTheme="minorHAnsi" w:eastAsiaTheme="minorEastAsia" w:hAnsiTheme="minorHAnsi" w:cstheme="minorBidi"/>
          <w:noProof/>
          <w:lang w:eastAsia="en-GB"/>
        </w:rPr>
      </w:pPr>
      <w:hyperlink w:anchor="_Toc445973541" w:history="1">
        <w:r w:rsidR="00661295" w:rsidRPr="00FA28F5">
          <w:rPr>
            <w:rStyle w:val="Hyperlink"/>
            <w:noProof/>
            <w:lang w:eastAsia="en-US"/>
          </w:rPr>
          <w:t>6.2.3</w:t>
        </w:r>
        <w:r w:rsidR="00661295">
          <w:rPr>
            <w:rFonts w:asciiTheme="minorHAnsi" w:eastAsiaTheme="minorEastAsia" w:hAnsiTheme="minorHAnsi" w:cstheme="minorBidi"/>
            <w:noProof/>
            <w:lang w:eastAsia="en-GB"/>
          </w:rPr>
          <w:tab/>
        </w:r>
        <w:r w:rsidR="00661295" w:rsidRPr="00FA28F5">
          <w:rPr>
            <w:rStyle w:val="Hyperlink"/>
            <w:noProof/>
            <w:lang w:eastAsia="en-US"/>
          </w:rPr>
          <w:t>Composition of support to general services</w:t>
        </w:r>
        <w:r w:rsidR="00661295">
          <w:rPr>
            <w:noProof/>
          </w:rPr>
          <w:tab/>
        </w:r>
        <w:r w:rsidR="00661295">
          <w:rPr>
            <w:noProof/>
          </w:rPr>
          <w:fldChar w:fldCharType="begin"/>
        </w:r>
        <w:r w:rsidR="00661295">
          <w:rPr>
            <w:noProof/>
          </w:rPr>
          <w:instrText xml:space="preserve"> PAGEREF _Toc445973541 \h </w:instrText>
        </w:r>
        <w:r w:rsidR="00661295">
          <w:rPr>
            <w:noProof/>
          </w:rPr>
        </w:r>
        <w:r w:rsidR="00661295">
          <w:rPr>
            <w:noProof/>
          </w:rPr>
          <w:fldChar w:fldCharType="separate"/>
        </w:r>
        <w:r>
          <w:rPr>
            <w:noProof/>
          </w:rPr>
          <w:t>27</w:t>
        </w:r>
        <w:r w:rsidR="00661295">
          <w:rPr>
            <w:noProof/>
          </w:rPr>
          <w:fldChar w:fldCharType="end"/>
        </w:r>
      </w:hyperlink>
    </w:p>
    <w:p w:rsidR="00661295" w:rsidRDefault="0042183E">
      <w:pPr>
        <w:pStyle w:val="TOC2"/>
        <w:tabs>
          <w:tab w:val="left" w:pos="794"/>
        </w:tabs>
        <w:rPr>
          <w:rFonts w:asciiTheme="minorHAnsi" w:eastAsiaTheme="minorEastAsia" w:hAnsiTheme="minorHAnsi" w:cstheme="minorBidi"/>
          <w:noProof/>
          <w:lang w:eastAsia="en-GB"/>
        </w:rPr>
      </w:pPr>
      <w:hyperlink w:anchor="_Toc445973542" w:history="1">
        <w:r w:rsidR="00661295" w:rsidRPr="00FA28F5">
          <w:rPr>
            <w:rStyle w:val="Hyperlink"/>
            <w:noProof/>
          </w:rPr>
          <w:t>6.3.</w:t>
        </w:r>
        <w:r w:rsidR="00661295">
          <w:rPr>
            <w:rFonts w:asciiTheme="minorHAnsi" w:eastAsiaTheme="minorEastAsia" w:hAnsiTheme="minorHAnsi" w:cstheme="minorBidi"/>
            <w:noProof/>
            <w:lang w:eastAsia="en-GB"/>
          </w:rPr>
          <w:tab/>
        </w:r>
        <w:r w:rsidR="00661295" w:rsidRPr="00FA28F5">
          <w:rPr>
            <w:rStyle w:val="Hyperlink"/>
            <w:noProof/>
          </w:rPr>
          <w:t>Some potential misunderstandings of the indicators</w:t>
        </w:r>
        <w:r w:rsidR="00661295">
          <w:rPr>
            <w:noProof/>
          </w:rPr>
          <w:tab/>
        </w:r>
        <w:r w:rsidR="00661295">
          <w:rPr>
            <w:noProof/>
          </w:rPr>
          <w:fldChar w:fldCharType="begin"/>
        </w:r>
        <w:r w:rsidR="00661295">
          <w:rPr>
            <w:noProof/>
          </w:rPr>
          <w:instrText xml:space="preserve"> PAGEREF _Toc445973542 \h </w:instrText>
        </w:r>
        <w:r w:rsidR="00661295">
          <w:rPr>
            <w:noProof/>
          </w:rPr>
        </w:r>
        <w:r w:rsidR="00661295">
          <w:rPr>
            <w:noProof/>
          </w:rPr>
          <w:fldChar w:fldCharType="separate"/>
        </w:r>
        <w:r>
          <w:rPr>
            <w:noProof/>
          </w:rPr>
          <w:t>28</w:t>
        </w:r>
        <w:r w:rsidR="00661295">
          <w:rPr>
            <w:noProof/>
          </w:rPr>
          <w:fldChar w:fldCharType="end"/>
        </w:r>
      </w:hyperlink>
    </w:p>
    <w:p w:rsidR="00661295" w:rsidRDefault="0042183E">
      <w:pPr>
        <w:pStyle w:val="TOC1"/>
        <w:rPr>
          <w:rFonts w:asciiTheme="minorHAnsi" w:eastAsiaTheme="minorEastAsia" w:hAnsiTheme="minorHAnsi" w:cstheme="minorBidi"/>
          <w:caps w:val="0"/>
          <w:noProof/>
          <w:lang w:eastAsia="en-GB"/>
        </w:rPr>
      </w:pPr>
      <w:hyperlink w:anchor="_Toc445973543" w:history="1">
        <w:r w:rsidR="00661295" w:rsidRPr="00FA28F5">
          <w:rPr>
            <w:rStyle w:val="Hyperlink"/>
            <w:noProof/>
          </w:rPr>
          <w:fldChar w:fldCharType="begin"/>
        </w:r>
        <w:r w:rsidR="00661295" w:rsidRPr="00FA28F5">
          <w:rPr>
            <w:rStyle w:val="Hyperlink"/>
            <w:noProof/>
          </w:rPr>
          <w:instrText xml:space="preserve"> MACROBUTTON NUMBERING </w:instrText>
        </w:r>
        <w:r w:rsidR="00661295" w:rsidRPr="00FA28F5">
          <w:rPr>
            <w:rStyle w:val="Hyperlink"/>
            <w:noProof/>
          </w:rPr>
          <w:fldChar w:fldCharType="begin"/>
        </w:r>
        <w:r w:rsidR="00661295" w:rsidRPr="00FA28F5">
          <w:rPr>
            <w:rStyle w:val="Hyperlink"/>
            <w:noProof/>
          </w:rPr>
          <w:instrText xml:space="preserve"> SEQ  cpara \h \r 0</w:instrText>
        </w:r>
        <w:r w:rsidR="00661295" w:rsidRPr="00FA28F5">
          <w:rPr>
            <w:rStyle w:val="Hyperlink"/>
            <w:noProof/>
          </w:rPr>
          <w:fldChar w:fldCharType="end"/>
        </w:r>
        <w:r w:rsidR="00661295" w:rsidRPr="00FA28F5">
          <w:rPr>
            <w:rStyle w:val="Hyperlink"/>
            <w:noProof/>
          </w:rPr>
          <w:fldChar w:fldCharType="begin"/>
        </w:r>
        <w:r w:rsidR="00661295" w:rsidRPr="00FA28F5">
          <w:rPr>
            <w:rStyle w:val="Hyperlink"/>
            <w:noProof/>
          </w:rPr>
          <w:instrText xml:space="preserve"> SEQ  ccount \h</w:instrText>
        </w:r>
        <w:r w:rsidR="00661295" w:rsidRPr="00FA28F5">
          <w:rPr>
            <w:rStyle w:val="Hyperlink"/>
            <w:noProof/>
          </w:rPr>
          <w:fldChar w:fldCharType="end"/>
        </w:r>
        <w:r w:rsidR="00661295" w:rsidRPr="00FA28F5">
          <w:rPr>
            <w:rStyle w:val="Hyperlink"/>
            <w:noProof/>
          </w:rPr>
          <w:fldChar w:fldCharType="end"/>
        </w:r>
        <w:r w:rsidR="00661295" w:rsidRPr="00FA28F5">
          <w:rPr>
            <w:rStyle w:val="Hyperlink"/>
            <w:noProof/>
          </w:rPr>
          <w:t>Annex: Some Calculated Indicators</w:t>
        </w:r>
        <w:r w:rsidR="00661295">
          <w:rPr>
            <w:noProof/>
          </w:rPr>
          <w:tab/>
        </w:r>
        <w:r w:rsidR="00661295">
          <w:rPr>
            <w:noProof/>
          </w:rPr>
          <w:fldChar w:fldCharType="begin"/>
        </w:r>
        <w:r w:rsidR="00661295">
          <w:rPr>
            <w:noProof/>
          </w:rPr>
          <w:instrText xml:space="preserve"> PAGEREF _Toc445973543 \h </w:instrText>
        </w:r>
        <w:r w:rsidR="00661295">
          <w:rPr>
            <w:noProof/>
          </w:rPr>
        </w:r>
        <w:r w:rsidR="00661295">
          <w:rPr>
            <w:noProof/>
          </w:rPr>
          <w:fldChar w:fldCharType="separate"/>
        </w:r>
        <w:r>
          <w:rPr>
            <w:noProof/>
          </w:rPr>
          <w:t>29</w:t>
        </w:r>
        <w:r w:rsidR="00661295">
          <w:rPr>
            <w:noProof/>
          </w:rPr>
          <w:fldChar w:fldCharType="end"/>
        </w:r>
      </w:hyperlink>
    </w:p>
    <w:p w:rsidR="009330FF" w:rsidRDefault="009330FF">
      <w:pPr>
        <w:rPr>
          <w:b/>
          <w:noProof/>
        </w:rPr>
      </w:pPr>
      <w:r>
        <w:rPr>
          <w:b/>
          <w:noProof/>
        </w:rPr>
        <w:fldChar w:fldCharType="end"/>
      </w:r>
      <w:r>
        <w:rPr>
          <w:b/>
          <w:noProof/>
        </w:rPr>
        <w:fldChar w:fldCharType="begin"/>
      </w:r>
      <w:r>
        <w:rPr>
          <w:b/>
          <w:noProof/>
        </w:rPr>
        <w:instrText xml:space="preserve"> SEQ ccount \h \r0 </w:instrText>
      </w:r>
      <w:r>
        <w:rPr>
          <w:b/>
          <w:noProof/>
        </w:rPr>
        <w:fldChar w:fldCharType="end"/>
      </w:r>
    </w:p>
    <w:p w:rsidR="009330FF" w:rsidRDefault="009330FF">
      <w:pPr>
        <w:rPr>
          <w:b/>
          <w:noProof/>
        </w:rPr>
      </w:pPr>
    </w:p>
    <w:p w:rsidR="009330FF" w:rsidRDefault="009330FF">
      <w:pPr>
        <w:keepNext/>
        <w:spacing w:after="240"/>
        <w:rPr>
          <w:b/>
          <w:noProof/>
        </w:rPr>
      </w:pPr>
      <w:r>
        <w:rPr>
          <w:b/>
          <w:noProof/>
        </w:rPr>
        <w:t>Tables</w:t>
      </w:r>
    </w:p>
    <w:p w:rsidR="008A4280" w:rsidRDefault="009330FF">
      <w:pPr>
        <w:pStyle w:val="TOC2"/>
        <w:rPr>
          <w:rFonts w:asciiTheme="minorHAnsi" w:eastAsiaTheme="minorEastAsia" w:hAnsiTheme="minorHAnsi" w:cstheme="minorBidi"/>
          <w:noProof/>
          <w:lang w:eastAsia="en-GB"/>
        </w:rPr>
      </w:pPr>
      <w:r>
        <w:rPr>
          <w:b/>
          <w:noProof/>
        </w:rPr>
        <w:fldChar w:fldCharType="begin"/>
      </w:r>
      <w:r>
        <w:rPr>
          <w:b/>
          <w:noProof/>
        </w:rPr>
        <w:instrText xml:space="preserve"> TOC \f t \h</w:instrText>
      </w:r>
      <w:r>
        <w:rPr>
          <w:b/>
          <w:noProof/>
        </w:rPr>
        <w:fldChar w:fldCharType="separate"/>
      </w:r>
      <w:hyperlink w:anchor="_Toc445908275" w:history="1">
        <w:r w:rsidR="008A4280" w:rsidRPr="00471A6E">
          <w:rPr>
            <w:rStyle w:val="Hyperlink"/>
            <w:noProof/>
          </w:rPr>
          <w:t>Table 3.2 Names and definitions of FSE labels</w:t>
        </w:r>
        <w:r w:rsidR="008A4280">
          <w:rPr>
            <w:noProof/>
          </w:rPr>
          <w:tab/>
        </w:r>
        <w:r w:rsidR="008A4280">
          <w:rPr>
            <w:noProof/>
          </w:rPr>
          <w:fldChar w:fldCharType="begin"/>
        </w:r>
        <w:r w:rsidR="008A4280">
          <w:rPr>
            <w:noProof/>
          </w:rPr>
          <w:instrText xml:space="preserve"> PAGEREF _Toc445908275 \h </w:instrText>
        </w:r>
        <w:r w:rsidR="008A4280">
          <w:rPr>
            <w:noProof/>
          </w:rPr>
        </w:r>
        <w:r w:rsidR="008A4280">
          <w:rPr>
            <w:noProof/>
          </w:rPr>
          <w:fldChar w:fldCharType="separate"/>
        </w:r>
        <w:r w:rsidR="0042183E">
          <w:rPr>
            <w:noProof/>
          </w:rPr>
          <w:t>11</w:t>
        </w:r>
        <w:r w:rsidR="008A4280">
          <w:rPr>
            <w:noProof/>
          </w:rPr>
          <w:fldChar w:fldCharType="end"/>
        </w:r>
      </w:hyperlink>
    </w:p>
    <w:p w:rsidR="008A4280" w:rsidRDefault="0042183E">
      <w:pPr>
        <w:pStyle w:val="TOC2"/>
        <w:rPr>
          <w:rFonts w:asciiTheme="minorHAnsi" w:eastAsiaTheme="minorEastAsia" w:hAnsiTheme="minorHAnsi" w:cstheme="minorBidi"/>
          <w:noProof/>
          <w:lang w:eastAsia="en-GB"/>
        </w:rPr>
      </w:pPr>
      <w:hyperlink w:anchor="_Toc445908276" w:history="1">
        <w:r w:rsidR="008A4280" w:rsidRPr="00471A6E">
          <w:rPr>
            <w:rStyle w:val="Hyperlink"/>
            <w:noProof/>
            <w:lang w:eastAsia="en-US"/>
          </w:rPr>
          <w:t>Table 6.1 Composition of GSSE by category (example)</w:t>
        </w:r>
        <w:r w:rsidR="008A4280">
          <w:rPr>
            <w:noProof/>
          </w:rPr>
          <w:tab/>
        </w:r>
        <w:r w:rsidR="008A4280">
          <w:rPr>
            <w:noProof/>
          </w:rPr>
          <w:fldChar w:fldCharType="begin"/>
        </w:r>
        <w:r w:rsidR="008A4280">
          <w:rPr>
            <w:noProof/>
          </w:rPr>
          <w:instrText xml:space="preserve"> PAGEREF _Toc445908276 \h </w:instrText>
        </w:r>
        <w:r w:rsidR="008A4280">
          <w:rPr>
            <w:noProof/>
          </w:rPr>
        </w:r>
        <w:r w:rsidR="008A4280">
          <w:rPr>
            <w:noProof/>
          </w:rPr>
          <w:fldChar w:fldCharType="separate"/>
        </w:r>
        <w:r>
          <w:rPr>
            <w:noProof/>
          </w:rPr>
          <w:t>27</w:t>
        </w:r>
        <w:r w:rsidR="008A4280">
          <w:rPr>
            <w:noProof/>
          </w:rPr>
          <w:fldChar w:fldCharType="end"/>
        </w:r>
      </w:hyperlink>
    </w:p>
    <w:p w:rsidR="009330FF" w:rsidRDefault="009330FF">
      <w:pPr>
        <w:rPr>
          <w:b/>
          <w:noProof/>
        </w:rPr>
      </w:pPr>
      <w:r>
        <w:rPr>
          <w:b/>
          <w:noProof/>
        </w:rPr>
        <w:lastRenderedPageBreak/>
        <w:fldChar w:fldCharType="end"/>
      </w:r>
      <w:r>
        <w:rPr>
          <w:b/>
          <w:noProof/>
        </w:rPr>
        <w:fldChar w:fldCharType="begin"/>
      </w:r>
      <w:r>
        <w:rPr>
          <w:b/>
          <w:noProof/>
        </w:rPr>
        <w:instrText xml:space="preserve"> SEQ Table \h \r0 </w:instrText>
      </w:r>
      <w:r>
        <w:rPr>
          <w:b/>
          <w:noProof/>
        </w:rPr>
        <w:fldChar w:fldCharType="end"/>
      </w:r>
    </w:p>
    <w:p w:rsidR="009330FF" w:rsidRDefault="009330FF">
      <w:pPr>
        <w:rPr>
          <w:b/>
          <w:noProof/>
        </w:rPr>
      </w:pPr>
    </w:p>
    <w:p w:rsidR="009330FF" w:rsidRDefault="009330FF"/>
    <w:p w:rsidR="009330FF" w:rsidRDefault="009330FF">
      <w:pPr>
        <w:keepNext/>
        <w:spacing w:after="240"/>
        <w:rPr>
          <w:b/>
          <w:noProof/>
        </w:rPr>
      </w:pPr>
      <w:r>
        <w:rPr>
          <w:b/>
          <w:noProof/>
        </w:rPr>
        <w:t>Figures</w:t>
      </w:r>
    </w:p>
    <w:p w:rsidR="00595215" w:rsidRDefault="009330FF">
      <w:pPr>
        <w:pStyle w:val="TOC2"/>
        <w:rPr>
          <w:rFonts w:asciiTheme="minorHAnsi" w:eastAsiaTheme="minorEastAsia" w:hAnsiTheme="minorHAnsi" w:cstheme="minorBidi"/>
          <w:noProof/>
          <w:lang w:eastAsia="en-GB"/>
        </w:rPr>
      </w:pPr>
      <w:r>
        <w:rPr>
          <w:b/>
          <w:noProof/>
        </w:rPr>
        <w:fldChar w:fldCharType="begin"/>
      </w:r>
      <w:r>
        <w:rPr>
          <w:b/>
          <w:noProof/>
        </w:rPr>
        <w:instrText xml:space="preserve"> TOC \f f \h</w:instrText>
      </w:r>
      <w:r>
        <w:rPr>
          <w:b/>
          <w:noProof/>
        </w:rPr>
        <w:fldChar w:fldCharType="separate"/>
      </w:r>
      <w:hyperlink w:anchor="_Toc445973716" w:history="1">
        <w:r w:rsidR="00595215" w:rsidRPr="007660D5">
          <w:rPr>
            <w:rStyle w:val="Hyperlink"/>
            <w:noProof/>
          </w:rPr>
          <w:t>Figure 4.1: Calculation of a transfer generated by a fuel tax concession</w:t>
        </w:r>
        <w:r w:rsidR="00595215">
          <w:rPr>
            <w:noProof/>
          </w:rPr>
          <w:tab/>
        </w:r>
        <w:r w:rsidR="00595215">
          <w:rPr>
            <w:noProof/>
          </w:rPr>
          <w:fldChar w:fldCharType="begin"/>
        </w:r>
        <w:r w:rsidR="00595215">
          <w:rPr>
            <w:noProof/>
          </w:rPr>
          <w:instrText xml:space="preserve"> PAGEREF _Toc445973716 \h </w:instrText>
        </w:r>
        <w:r w:rsidR="00595215">
          <w:rPr>
            <w:noProof/>
          </w:rPr>
        </w:r>
        <w:r w:rsidR="00595215">
          <w:rPr>
            <w:noProof/>
          </w:rPr>
          <w:fldChar w:fldCharType="separate"/>
        </w:r>
        <w:r w:rsidR="0042183E">
          <w:rPr>
            <w:noProof/>
          </w:rPr>
          <w:t>18</w:t>
        </w:r>
        <w:r w:rsidR="00595215">
          <w:rPr>
            <w:noProof/>
          </w:rPr>
          <w:fldChar w:fldCharType="end"/>
        </w:r>
      </w:hyperlink>
    </w:p>
    <w:p w:rsidR="00595215" w:rsidRDefault="0042183E">
      <w:pPr>
        <w:pStyle w:val="TOC2"/>
        <w:rPr>
          <w:rFonts w:asciiTheme="minorHAnsi" w:eastAsiaTheme="minorEastAsia" w:hAnsiTheme="minorHAnsi" w:cstheme="minorBidi"/>
          <w:noProof/>
          <w:lang w:eastAsia="en-GB"/>
        </w:rPr>
      </w:pPr>
      <w:hyperlink w:anchor="_Toc445973717" w:history="1">
        <w:r w:rsidR="00595215" w:rsidRPr="007660D5">
          <w:rPr>
            <w:rStyle w:val="Hyperlink"/>
            <w:noProof/>
          </w:rPr>
          <w:t>Figure 4.2: Quantity purchased by domestic fishers in national ports</w:t>
        </w:r>
        <w:r w:rsidR="00595215">
          <w:rPr>
            <w:noProof/>
          </w:rPr>
          <w:tab/>
        </w:r>
        <w:r w:rsidR="00595215">
          <w:rPr>
            <w:noProof/>
          </w:rPr>
          <w:fldChar w:fldCharType="begin"/>
        </w:r>
        <w:r w:rsidR="00595215">
          <w:rPr>
            <w:noProof/>
          </w:rPr>
          <w:instrText xml:space="preserve"> PAGEREF _Toc445973717 \h </w:instrText>
        </w:r>
        <w:r w:rsidR="00595215">
          <w:rPr>
            <w:noProof/>
          </w:rPr>
        </w:r>
        <w:r w:rsidR="00595215">
          <w:rPr>
            <w:noProof/>
          </w:rPr>
          <w:fldChar w:fldCharType="separate"/>
        </w:r>
        <w:r>
          <w:rPr>
            <w:noProof/>
          </w:rPr>
          <w:t>19</w:t>
        </w:r>
        <w:r w:rsidR="00595215">
          <w:rPr>
            <w:noProof/>
          </w:rPr>
          <w:fldChar w:fldCharType="end"/>
        </w:r>
      </w:hyperlink>
    </w:p>
    <w:p w:rsidR="00595215" w:rsidRDefault="0042183E">
      <w:pPr>
        <w:pStyle w:val="TOC2"/>
        <w:rPr>
          <w:rFonts w:asciiTheme="minorHAnsi" w:eastAsiaTheme="minorEastAsia" w:hAnsiTheme="minorHAnsi" w:cstheme="minorBidi"/>
          <w:noProof/>
          <w:lang w:eastAsia="en-GB"/>
        </w:rPr>
      </w:pPr>
      <w:hyperlink w:anchor="_Toc445973718" w:history="1">
        <w:r w:rsidR="00595215" w:rsidRPr="007660D5">
          <w:rPr>
            <w:rStyle w:val="Hyperlink"/>
            <w:noProof/>
            <w:lang w:eastAsia="en-US"/>
          </w:rPr>
          <w:t>Figure 6.1. Graphical representation of labels</w:t>
        </w:r>
        <w:r w:rsidR="00595215">
          <w:rPr>
            <w:noProof/>
          </w:rPr>
          <w:tab/>
        </w:r>
        <w:r w:rsidR="00595215">
          <w:rPr>
            <w:noProof/>
          </w:rPr>
          <w:fldChar w:fldCharType="begin"/>
        </w:r>
        <w:r w:rsidR="00595215">
          <w:rPr>
            <w:noProof/>
          </w:rPr>
          <w:instrText xml:space="preserve"> PAGEREF _Toc445973718 \h </w:instrText>
        </w:r>
        <w:r w:rsidR="00595215">
          <w:rPr>
            <w:noProof/>
          </w:rPr>
        </w:r>
        <w:r w:rsidR="00595215">
          <w:rPr>
            <w:noProof/>
          </w:rPr>
          <w:fldChar w:fldCharType="separate"/>
        </w:r>
        <w:r>
          <w:rPr>
            <w:noProof/>
          </w:rPr>
          <w:t>27</w:t>
        </w:r>
        <w:r w:rsidR="00595215">
          <w:rPr>
            <w:noProof/>
          </w:rPr>
          <w:fldChar w:fldCharType="end"/>
        </w:r>
      </w:hyperlink>
    </w:p>
    <w:p w:rsidR="009330FF" w:rsidRDefault="009330FF">
      <w:pPr>
        <w:rPr>
          <w:b/>
          <w:noProof/>
        </w:rPr>
      </w:pPr>
      <w:r>
        <w:rPr>
          <w:b/>
          <w:noProof/>
        </w:rPr>
        <w:fldChar w:fldCharType="end"/>
      </w:r>
      <w:r>
        <w:rPr>
          <w:b/>
          <w:noProof/>
        </w:rPr>
        <w:fldChar w:fldCharType="begin"/>
      </w:r>
      <w:r>
        <w:rPr>
          <w:b/>
          <w:noProof/>
        </w:rPr>
        <w:instrText xml:space="preserve"> SEQ Figure \h \r0 </w:instrText>
      </w:r>
      <w:r>
        <w:rPr>
          <w:b/>
          <w:noProof/>
        </w:rPr>
        <w:fldChar w:fldCharType="end"/>
      </w:r>
    </w:p>
    <w:p w:rsidR="009330FF" w:rsidRDefault="009330FF"/>
    <w:p w:rsidR="009330FF" w:rsidRDefault="009330FF">
      <w:pPr>
        <w:keepNext/>
        <w:spacing w:after="240"/>
        <w:rPr>
          <w:b/>
          <w:noProof/>
        </w:rPr>
      </w:pPr>
      <w:r>
        <w:rPr>
          <w:b/>
          <w:noProof/>
        </w:rPr>
        <w:t>Boxes</w:t>
      </w:r>
    </w:p>
    <w:p w:rsidR="008A4280" w:rsidRDefault="009330FF">
      <w:pPr>
        <w:pStyle w:val="TOC2"/>
        <w:rPr>
          <w:rFonts w:asciiTheme="minorHAnsi" w:eastAsiaTheme="minorEastAsia" w:hAnsiTheme="minorHAnsi" w:cstheme="minorBidi"/>
          <w:noProof/>
          <w:lang w:eastAsia="en-GB"/>
        </w:rPr>
      </w:pPr>
      <w:r>
        <w:rPr>
          <w:b/>
          <w:noProof/>
        </w:rPr>
        <w:fldChar w:fldCharType="begin"/>
      </w:r>
      <w:r>
        <w:rPr>
          <w:b/>
          <w:noProof/>
        </w:rPr>
        <w:instrText xml:space="preserve"> TOC \t "Text Box Heading,2,Box Heading,2" </w:instrText>
      </w:r>
      <w:r>
        <w:rPr>
          <w:b/>
          <w:noProof/>
        </w:rPr>
        <w:fldChar w:fldCharType="separate"/>
      </w:r>
      <w:r w:rsidR="008A4280">
        <w:rPr>
          <w:noProof/>
        </w:rPr>
        <w:t>Box 3.1. Names and definitions of the categories and sub-categories in the FSE</w:t>
      </w:r>
      <w:r w:rsidR="008A4280">
        <w:rPr>
          <w:noProof/>
        </w:rPr>
        <w:tab/>
      </w:r>
      <w:r w:rsidR="008A4280">
        <w:rPr>
          <w:noProof/>
        </w:rPr>
        <w:fldChar w:fldCharType="begin"/>
      </w:r>
      <w:r w:rsidR="008A4280">
        <w:rPr>
          <w:noProof/>
        </w:rPr>
        <w:instrText xml:space="preserve"> PAGEREF _Toc445908266 \h </w:instrText>
      </w:r>
      <w:r w:rsidR="008A4280">
        <w:rPr>
          <w:noProof/>
        </w:rPr>
      </w:r>
      <w:r w:rsidR="008A4280">
        <w:rPr>
          <w:noProof/>
        </w:rPr>
        <w:fldChar w:fldCharType="separate"/>
      </w:r>
      <w:r w:rsidR="0042183E">
        <w:rPr>
          <w:noProof/>
        </w:rPr>
        <w:t>10</w:t>
      </w:r>
      <w:r w:rsidR="008A4280">
        <w:rPr>
          <w:noProof/>
        </w:rPr>
        <w:fldChar w:fldCharType="end"/>
      </w:r>
    </w:p>
    <w:p w:rsidR="008A4280" w:rsidRDefault="008A4280">
      <w:pPr>
        <w:pStyle w:val="TOC2"/>
        <w:rPr>
          <w:rFonts w:asciiTheme="minorHAnsi" w:eastAsiaTheme="minorEastAsia" w:hAnsiTheme="minorHAnsi" w:cstheme="minorBidi"/>
          <w:noProof/>
          <w:lang w:eastAsia="en-GB"/>
        </w:rPr>
      </w:pPr>
      <w:r>
        <w:rPr>
          <w:noProof/>
        </w:rPr>
        <w:t>Box 3.2. Names and definitions of the GSSE categories and sub-categories</w:t>
      </w:r>
      <w:r>
        <w:rPr>
          <w:noProof/>
        </w:rPr>
        <w:tab/>
      </w:r>
      <w:r>
        <w:rPr>
          <w:noProof/>
        </w:rPr>
        <w:fldChar w:fldCharType="begin"/>
      </w:r>
      <w:r>
        <w:rPr>
          <w:noProof/>
        </w:rPr>
        <w:instrText xml:space="preserve"> PAGEREF _Toc445908267 \h </w:instrText>
      </w:r>
      <w:r>
        <w:rPr>
          <w:noProof/>
        </w:rPr>
      </w:r>
      <w:r>
        <w:rPr>
          <w:noProof/>
        </w:rPr>
        <w:fldChar w:fldCharType="separate"/>
      </w:r>
      <w:r w:rsidR="0042183E">
        <w:rPr>
          <w:noProof/>
        </w:rPr>
        <w:t>12</w:t>
      </w:r>
      <w:r>
        <w:rPr>
          <w:noProof/>
        </w:rPr>
        <w:fldChar w:fldCharType="end"/>
      </w:r>
    </w:p>
    <w:p w:rsidR="008A4280" w:rsidRDefault="008A4280">
      <w:pPr>
        <w:pStyle w:val="TOC2"/>
        <w:rPr>
          <w:rFonts w:asciiTheme="minorHAnsi" w:eastAsiaTheme="minorEastAsia" w:hAnsiTheme="minorHAnsi" w:cstheme="minorBidi"/>
          <w:noProof/>
          <w:lang w:eastAsia="en-GB"/>
        </w:rPr>
      </w:pPr>
      <w:r>
        <w:rPr>
          <w:noProof/>
        </w:rPr>
        <w:t>Box 3.3. Names and definitions for cost-recovery charges</w:t>
      </w:r>
      <w:r>
        <w:rPr>
          <w:noProof/>
        </w:rPr>
        <w:tab/>
      </w:r>
      <w:r>
        <w:rPr>
          <w:noProof/>
        </w:rPr>
        <w:fldChar w:fldCharType="begin"/>
      </w:r>
      <w:r>
        <w:rPr>
          <w:noProof/>
        </w:rPr>
        <w:instrText xml:space="preserve"> PAGEREF _Toc445908268 \h </w:instrText>
      </w:r>
      <w:r>
        <w:rPr>
          <w:noProof/>
        </w:rPr>
      </w:r>
      <w:r>
        <w:rPr>
          <w:noProof/>
        </w:rPr>
        <w:fldChar w:fldCharType="separate"/>
      </w:r>
      <w:r w:rsidR="0042183E">
        <w:rPr>
          <w:noProof/>
        </w:rPr>
        <w:t>13</w:t>
      </w:r>
      <w:r>
        <w:rPr>
          <w:noProof/>
        </w:rPr>
        <w:fldChar w:fldCharType="end"/>
      </w:r>
    </w:p>
    <w:p w:rsidR="008A4280" w:rsidRDefault="008A4280">
      <w:pPr>
        <w:pStyle w:val="TOC2"/>
        <w:rPr>
          <w:rFonts w:asciiTheme="minorHAnsi" w:eastAsiaTheme="minorEastAsia" w:hAnsiTheme="minorHAnsi" w:cstheme="minorBidi"/>
          <w:noProof/>
          <w:lang w:eastAsia="en-GB"/>
        </w:rPr>
      </w:pPr>
      <w:r>
        <w:rPr>
          <w:noProof/>
        </w:rPr>
        <w:t>Box 4.1. Inclusion of fuel price differential policies in the FSE--Some examples.</w:t>
      </w:r>
      <w:r>
        <w:rPr>
          <w:noProof/>
        </w:rPr>
        <w:tab/>
      </w:r>
      <w:r>
        <w:rPr>
          <w:noProof/>
        </w:rPr>
        <w:fldChar w:fldCharType="begin"/>
      </w:r>
      <w:r>
        <w:rPr>
          <w:noProof/>
        </w:rPr>
        <w:instrText xml:space="preserve"> PAGEREF _Toc445908269 \h </w:instrText>
      </w:r>
      <w:r>
        <w:rPr>
          <w:noProof/>
        </w:rPr>
      </w:r>
      <w:r>
        <w:rPr>
          <w:noProof/>
        </w:rPr>
        <w:fldChar w:fldCharType="separate"/>
      </w:r>
      <w:r w:rsidR="0042183E">
        <w:rPr>
          <w:noProof/>
        </w:rPr>
        <w:t>16</w:t>
      </w:r>
      <w:r>
        <w:rPr>
          <w:noProof/>
        </w:rPr>
        <w:fldChar w:fldCharType="end"/>
      </w:r>
    </w:p>
    <w:p w:rsidR="008A4280" w:rsidRDefault="008A4280">
      <w:pPr>
        <w:pStyle w:val="TOC2"/>
        <w:rPr>
          <w:rFonts w:asciiTheme="minorHAnsi" w:eastAsiaTheme="minorEastAsia" w:hAnsiTheme="minorHAnsi" w:cstheme="minorBidi"/>
          <w:noProof/>
          <w:lang w:eastAsia="en-GB"/>
        </w:rPr>
      </w:pPr>
      <w:r>
        <w:rPr>
          <w:noProof/>
        </w:rPr>
        <w:t>Box 6.1. Some Potential Indicators based on the FSE</w:t>
      </w:r>
      <w:r>
        <w:rPr>
          <w:noProof/>
        </w:rPr>
        <w:tab/>
      </w:r>
      <w:r>
        <w:rPr>
          <w:noProof/>
        </w:rPr>
        <w:fldChar w:fldCharType="begin"/>
      </w:r>
      <w:r>
        <w:rPr>
          <w:noProof/>
        </w:rPr>
        <w:instrText xml:space="preserve"> PAGEREF _Toc445908270 \h </w:instrText>
      </w:r>
      <w:r>
        <w:rPr>
          <w:noProof/>
        </w:rPr>
      </w:r>
      <w:r>
        <w:rPr>
          <w:noProof/>
        </w:rPr>
        <w:fldChar w:fldCharType="separate"/>
      </w:r>
      <w:r w:rsidR="0042183E">
        <w:rPr>
          <w:noProof/>
        </w:rPr>
        <w:t>23</w:t>
      </w:r>
      <w:r>
        <w:rPr>
          <w:noProof/>
        </w:rPr>
        <w:fldChar w:fldCharType="end"/>
      </w:r>
    </w:p>
    <w:p w:rsidR="008A4280" w:rsidRDefault="008A4280">
      <w:pPr>
        <w:pStyle w:val="TOC2"/>
        <w:rPr>
          <w:rFonts w:asciiTheme="minorHAnsi" w:eastAsiaTheme="minorEastAsia" w:hAnsiTheme="minorHAnsi" w:cstheme="minorBidi"/>
          <w:noProof/>
          <w:lang w:eastAsia="en-GB"/>
        </w:rPr>
      </w:pPr>
      <w:r w:rsidRPr="008E4A0C">
        <w:rPr>
          <w:noProof/>
          <w:color w:val="000000" w:themeColor="text1"/>
        </w:rPr>
        <w:t>Box 6.2. Use of %TIF in evaluating annual changes in support  for the OECD area as a whole</w:t>
      </w:r>
      <w:r>
        <w:rPr>
          <w:noProof/>
        </w:rPr>
        <w:tab/>
      </w:r>
      <w:r>
        <w:rPr>
          <w:noProof/>
        </w:rPr>
        <w:fldChar w:fldCharType="begin"/>
      </w:r>
      <w:r>
        <w:rPr>
          <w:noProof/>
        </w:rPr>
        <w:instrText xml:space="preserve"> PAGEREF _Toc445908271 \h </w:instrText>
      </w:r>
      <w:r>
        <w:rPr>
          <w:noProof/>
        </w:rPr>
      </w:r>
      <w:r>
        <w:rPr>
          <w:noProof/>
        </w:rPr>
        <w:fldChar w:fldCharType="separate"/>
      </w:r>
      <w:r w:rsidR="0042183E">
        <w:rPr>
          <w:noProof/>
        </w:rPr>
        <w:t>25</w:t>
      </w:r>
      <w:r>
        <w:rPr>
          <w:noProof/>
        </w:rPr>
        <w:fldChar w:fldCharType="end"/>
      </w:r>
    </w:p>
    <w:p w:rsidR="009330FF" w:rsidRDefault="009330FF">
      <w:pPr>
        <w:rPr>
          <w:b/>
          <w:noProof/>
        </w:rPr>
      </w:pPr>
      <w:r>
        <w:rPr>
          <w:b/>
          <w:noProof/>
        </w:rPr>
        <w:fldChar w:fldCharType="end"/>
      </w:r>
      <w:r>
        <w:rPr>
          <w:b/>
          <w:noProof/>
        </w:rPr>
        <w:fldChar w:fldCharType="begin"/>
      </w:r>
      <w:r>
        <w:rPr>
          <w:b/>
          <w:noProof/>
        </w:rPr>
        <w:instrText xml:space="preserve"> SEQ box \h \r0 </w:instrText>
      </w:r>
      <w:r>
        <w:rPr>
          <w:b/>
          <w:noProof/>
        </w:rPr>
        <w:fldChar w:fldCharType="end"/>
      </w:r>
    </w:p>
    <w:p w:rsidR="009330FF" w:rsidRDefault="009330FF"/>
    <w:p w:rsidR="009330FF" w:rsidRDefault="009330FF">
      <w:pPr>
        <w:tabs>
          <w:tab w:val="clear" w:pos="850"/>
          <w:tab w:val="clear" w:pos="1191"/>
          <w:tab w:val="clear" w:pos="1531"/>
        </w:tabs>
        <w:jc w:val="left"/>
        <w:rPr>
          <w:b/>
          <w:bCs/>
          <w:caps/>
          <w:kern w:val="28"/>
        </w:rPr>
      </w:pPr>
      <w:r>
        <w:br w:type="page"/>
      </w:r>
    </w:p>
    <w:bookmarkEnd w:id="16"/>
    <w:p w:rsidR="00D03B78" w:rsidRPr="00084208" w:rsidRDefault="00D03B78" w:rsidP="006D2EA9">
      <w:pPr>
        <w:pStyle w:val="Heading1"/>
      </w:pPr>
      <w:r>
        <w:lastRenderedPageBreak/>
        <w:fldChar w:fldCharType="begin"/>
      </w:r>
      <w:r>
        <w:instrText xml:space="preserve"> MACROBUTTON NUMBERING </w:instrText>
      </w:r>
      <w:r>
        <w:fldChar w:fldCharType="begin"/>
      </w:r>
      <w:r>
        <w:instrText xml:space="preserve"> SEQ  cpara \h \r 0</w:instrText>
      </w:r>
      <w:r>
        <w:fldChar w:fldCharType="end"/>
      </w:r>
      <w:r>
        <w:fldChar w:fldCharType="begin"/>
      </w:r>
      <w:r>
        <w:instrText xml:space="preserve"> SEQ  ccount \h</w:instrText>
      </w:r>
      <w:r>
        <w:fldChar w:fldCharType="end"/>
      </w:r>
      <w:bookmarkStart w:id="17" w:name="_Toc435460609"/>
      <w:bookmarkStart w:id="18" w:name="_Toc445973515"/>
      <w:r>
        <w:fldChar w:fldCharType="end"/>
      </w:r>
      <w:r w:rsidRPr="00084208">
        <w:t xml:space="preserve">Chapter 1 </w:t>
      </w:r>
      <w:r w:rsidRPr="00084208">
        <w:br/>
      </w:r>
      <w:r w:rsidRPr="00084208">
        <w:br/>
        <w:t>Introduction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7"/>
      <w:bookmarkEnd w:id="18"/>
    </w:p>
    <w:p w:rsidR="00D03B78" w:rsidRPr="009D1F8E" w:rsidRDefault="00D03B78" w:rsidP="006D2EA9">
      <w:pPr>
        <w:pStyle w:val="Heading2"/>
        <w:rPr>
          <w:sz w:val="21"/>
          <w:szCs w:val="21"/>
        </w:rPr>
      </w:pPr>
      <w:bookmarkStart w:id="19" w:name="_Toc160608136"/>
      <w:bookmarkStart w:id="20" w:name="_Toc160608201"/>
      <w:bookmarkStart w:id="21" w:name="_Toc160608389"/>
      <w:bookmarkStart w:id="22" w:name="_Toc160608963"/>
      <w:bookmarkStart w:id="23" w:name="_Toc160609096"/>
      <w:bookmarkStart w:id="24" w:name="_Toc160609229"/>
      <w:bookmarkStart w:id="25" w:name="_Toc163533439"/>
      <w:bookmarkStart w:id="26" w:name="_Toc169343740"/>
      <w:bookmarkStart w:id="27" w:name="_Toc174936719"/>
      <w:bookmarkStart w:id="28" w:name="_Toc203897735"/>
      <w:bookmarkStart w:id="29" w:name="_Toc203898409"/>
      <w:bookmarkStart w:id="30" w:name="_Toc272931518"/>
      <w:bookmarkStart w:id="31" w:name="_Toc273007819"/>
      <w:bookmarkStart w:id="32" w:name="_Toc361730661"/>
      <w:bookmarkStart w:id="33" w:name="_Toc435460610"/>
      <w:bookmarkStart w:id="34" w:name="_Toc445973516"/>
      <w:r w:rsidRPr="009D1F8E">
        <w:rPr>
          <w:sz w:val="21"/>
          <w:szCs w:val="21"/>
        </w:rPr>
        <w:t>1.1.</w:t>
      </w:r>
      <w:r w:rsidRPr="009D1F8E">
        <w:rPr>
          <w:sz w:val="21"/>
          <w:szCs w:val="21"/>
        </w:rPr>
        <w:tab/>
        <w:t>Objectives</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D03B78" w:rsidRPr="004D3416" w:rsidRDefault="00D03B78" w:rsidP="006D2EA9">
      <w:pPr>
        <w:pStyle w:val="Num-DocParagraph"/>
        <w:spacing w:after="120"/>
        <w:rPr>
          <w:sz w:val="21"/>
          <w:szCs w:val="21"/>
        </w:rPr>
      </w:pPr>
      <w:r>
        <w:rPr>
          <w:sz w:val="21"/>
          <w:szCs w:val="21"/>
        </w:rPr>
        <w:fldChar w:fldCharType="begin"/>
      </w:r>
      <w:r>
        <w:rPr>
          <w:sz w:val="21"/>
          <w:szCs w:val="21"/>
        </w:rPr>
        <w:instrText xml:space="preserve"> MACROBUTTON PARADOC </w:instrText>
      </w:r>
      <w:r>
        <w:rPr>
          <w:sz w:val="21"/>
          <w:szCs w:val="21"/>
        </w:rPr>
        <w:fldChar w:fldCharType="begin"/>
      </w:r>
      <w:r>
        <w:rPr>
          <w:sz w:val="21"/>
          <w:szCs w:val="21"/>
        </w:rPr>
        <w:instrText xml:space="preserve"> SEQ dpara \h \r 0</w:instrText>
      </w:r>
      <w:r>
        <w:rPr>
          <w:sz w:val="21"/>
          <w:szCs w:val="21"/>
        </w:rPr>
        <w:fldChar w:fldCharType="end"/>
      </w:r>
      <w:r>
        <w:rPr>
          <w:sz w:val="21"/>
          <w:szCs w:val="21"/>
        </w:rPr>
        <w:fldChar w:fldCharType="end"/>
      </w: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1</w:instrText>
      </w:r>
      <w:r>
        <w:rPr>
          <w:sz w:val="21"/>
          <w:szCs w:val="21"/>
        </w:rPr>
        <w:fldChar w:fldCharType="end"/>
      </w:r>
      <w:r>
        <w:rPr>
          <w:sz w:val="21"/>
          <w:szCs w:val="21"/>
        </w:rPr>
        <w:instrText>.</w:instrText>
      </w:r>
      <w:r>
        <w:rPr>
          <w:sz w:val="21"/>
          <w:szCs w:val="21"/>
        </w:rPr>
        <w:tab/>
      </w:r>
      <w:r>
        <w:rPr>
          <w:sz w:val="21"/>
          <w:szCs w:val="21"/>
        </w:rPr>
        <w:fldChar w:fldCharType="end"/>
      </w:r>
      <w:r w:rsidRPr="004D3416">
        <w:rPr>
          <w:sz w:val="21"/>
          <w:szCs w:val="21"/>
        </w:rPr>
        <w:t>The main objectives of this manual are</w:t>
      </w:r>
      <w:r>
        <w:rPr>
          <w:sz w:val="21"/>
          <w:szCs w:val="21"/>
        </w:rPr>
        <w:t>:</w:t>
      </w:r>
    </w:p>
    <w:p w:rsidR="00D03B78" w:rsidRDefault="00D03B78" w:rsidP="006D2EA9">
      <w:pPr>
        <w:pStyle w:val="ListBullet"/>
        <w:tabs>
          <w:tab w:val="clear" w:pos="850"/>
          <w:tab w:val="num" w:pos="975"/>
        </w:tabs>
        <w:spacing w:after="120"/>
        <w:ind w:left="975"/>
        <w:rPr>
          <w:sz w:val="21"/>
          <w:szCs w:val="21"/>
        </w:rPr>
      </w:pPr>
      <w:r>
        <w:rPr>
          <w:sz w:val="21"/>
          <w:szCs w:val="21"/>
        </w:rPr>
        <w:t>To provide a framework for discussion for the development of a set of estimates of fisheries support, with particular reference to decision points.</w:t>
      </w:r>
      <w:r>
        <w:rPr>
          <w:rStyle w:val="FootnoteReference"/>
          <w:sz w:val="21"/>
          <w:szCs w:val="21"/>
        </w:rPr>
        <w:footnoteReference w:id="1"/>
      </w:r>
    </w:p>
    <w:p w:rsidR="00D03B78" w:rsidRPr="00E81009" w:rsidRDefault="00D03B78" w:rsidP="006D2EA9">
      <w:pPr>
        <w:pStyle w:val="ListBullet"/>
        <w:tabs>
          <w:tab w:val="clear" w:pos="850"/>
          <w:tab w:val="num" w:pos="975"/>
        </w:tabs>
        <w:spacing w:after="120"/>
        <w:ind w:left="975"/>
        <w:rPr>
          <w:sz w:val="21"/>
          <w:szCs w:val="21"/>
        </w:rPr>
      </w:pPr>
      <w:r w:rsidRPr="00E81009">
        <w:rPr>
          <w:sz w:val="21"/>
          <w:szCs w:val="21"/>
        </w:rPr>
        <w:t>To provide a comprehensive description of the method employed by the OECD to calculate indicators of support to fisheries.</w:t>
      </w:r>
    </w:p>
    <w:p w:rsidR="00D03B78" w:rsidRPr="004D3416" w:rsidRDefault="00D03B78" w:rsidP="006D2EA9">
      <w:pPr>
        <w:pStyle w:val="ListBullet"/>
        <w:tabs>
          <w:tab w:val="clear" w:pos="850"/>
          <w:tab w:val="num" w:pos="975"/>
        </w:tabs>
        <w:spacing w:after="120"/>
        <w:ind w:left="975"/>
        <w:rPr>
          <w:sz w:val="21"/>
          <w:szCs w:val="21"/>
        </w:rPr>
      </w:pPr>
      <w:r w:rsidRPr="004D3416">
        <w:rPr>
          <w:sz w:val="21"/>
          <w:szCs w:val="21"/>
        </w:rPr>
        <w:t xml:space="preserve">To </w:t>
      </w:r>
      <w:r>
        <w:rPr>
          <w:sz w:val="21"/>
          <w:szCs w:val="21"/>
        </w:rPr>
        <w:t>explain</w:t>
      </w:r>
      <w:r w:rsidRPr="004D3416">
        <w:rPr>
          <w:sz w:val="21"/>
          <w:szCs w:val="21"/>
        </w:rPr>
        <w:t xml:space="preserve"> the economic theory and principles </w:t>
      </w:r>
      <w:r w:rsidR="005E61B4">
        <w:rPr>
          <w:sz w:val="21"/>
          <w:szCs w:val="21"/>
        </w:rPr>
        <w:t>behind</w:t>
      </w:r>
      <w:r>
        <w:rPr>
          <w:sz w:val="21"/>
          <w:szCs w:val="21"/>
        </w:rPr>
        <w:t xml:space="preserve"> this method</w:t>
      </w:r>
      <w:r w:rsidRPr="004D3416">
        <w:rPr>
          <w:sz w:val="21"/>
          <w:szCs w:val="21"/>
        </w:rPr>
        <w:t>.</w:t>
      </w:r>
    </w:p>
    <w:p w:rsidR="00D03B78" w:rsidRPr="004D3416" w:rsidRDefault="00D03B78" w:rsidP="006D2EA9">
      <w:pPr>
        <w:pStyle w:val="ListBullet"/>
        <w:tabs>
          <w:tab w:val="clear" w:pos="850"/>
          <w:tab w:val="num" w:pos="975"/>
        </w:tabs>
        <w:spacing w:after="120"/>
        <w:ind w:left="975"/>
        <w:rPr>
          <w:sz w:val="21"/>
          <w:szCs w:val="21"/>
        </w:rPr>
      </w:pPr>
      <w:r w:rsidRPr="004D3416">
        <w:rPr>
          <w:sz w:val="21"/>
          <w:szCs w:val="21"/>
        </w:rPr>
        <w:t>To illustrate the practical application of this methodology, including how best to deal with data limitations</w:t>
      </w:r>
      <w:r>
        <w:rPr>
          <w:sz w:val="21"/>
          <w:szCs w:val="21"/>
        </w:rPr>
        <w:t xml:space="preserve"> such as missing or inferred data</w:t>
      </w:r>
      <w:r w:rsidRPr="004D3416">
        <w:rPr>
          <w:sz w:val="21"/>
          <w:szCs w:val="21"/>
        </w:rPr>
        <w:t>, and to assist those wishing to replicate the method.</w:t>
      </w:r>
    </w:p>
    <w:p w:rsidR="00D03B78" w:rsidRPr="004D3416" w:rsidRDefault="00D03B78" w:rsidP="006D2EA9">
      <w:pPr>
        <w:pStyle w:val="ListBullet"/>
        <w:tabs>
          <w:tab w:val="clear" w:pos="850"/>
          <w:tab w:val="num" w:pos="975"/>
        </w:tabs>
        <w:ind w:left="975"/>
        <w:rPr>
          <w:sz w:val="21"/>
          <w:szCs w:val="21"/>
        </w:rPr>
      </w:pPr>
      <w:r w:rsidRPr="004D3416">
        <w:rPr>
          <w:sz w:val="21"/>
          <w:szCs w:val="21"/>
        </w:rPr>
        <w:t>To explain how the indicators can be used for policy evaluation and modelling.</w:t>
      </w:r>
    </w:p>
    <w:p w:rsidR="00D03B78" w:rsidRPr="004D3416" w:rsidRDefault="00D03B78" w:rsidP="006D2EA9">
      <w:pPr>
        <w:pStyle w:val="Num-DocParagraph"/>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2</w:instrText>
      </w:r>
      <w:r>
        <w:rPr>
          <w:sz w:val="21"/>
          <w:szCs w:val="21"/>
        </w:rPr>
        <w:fldChar w:fldCharType="end"/>
      </w:r>
      <w:r>
        <w:rPr>
          <w:sz w:val="21"/>
          <w:szCs w:val="21"/>
        </w:rPr>
        <w:instrText>.</w:instrText>
      </w:r>
      <w:r>
        <w:rPr>
          <w:sz w:val="21"/>
          <w:szCs w:val="21"/>
        </w:rPr>
        <w:tab/>
      </w:r>
      <w:r>
        <w:rPr>
          <w:sz w:val="21"/>
          <w:szCs w:val="21"/>
        </w:rPr>
        <w:fldChar w:fldCharType="end"/>
      </w:r>
      <w:r w:rsidRPr="00F2592E">
        <w:rPr>
          <w:sz w:val="21"/>
          <w:szCs w:val="21"/>
        </w:rPr>
        <w:t xml:space="preserve">This manual </w:t>
      </w:r>
      <w:r>
        <w:rPr>
          <w:sz w:val="21"/>
          <w:szCs w:val="21"/>
        </w:rPr>
        <w:t xml:space="preserve">is intended to serve as a complement to the </w:t>
      </w:r>
      <w:r>
        <w:rPr>
          <w:i/>
          <w:sz w:val="21"/>
          <w:szCs w:val="21"/>
        </w:rPr>
        <w:t>Review of Fisheries</w:t>
      </w:r>
      <w:r>
        <w:rPr>
          <w:sz w:val="21"/>
          <w:szCs w:val="21"/>
        </w:rPr>
        <w:t xml:space="preserve"> and the data available on OECD.Stat by providing a more complete explanation</w:t>
      </w:r>
      <w:r w:rsidRPr="004D3416">
        <w:rPr>
          <w:sz w:val="21"/>
          <w:szCs w:val="21"/>
        </w:rPr>
        <w:t xml:space="preserve"> </w:t>
      </w:r>
      <w:r>
        <w:rPr>
          <w:sz w:val="21"/>
          <w:szCs w:val="21"/>
        </w:rPr>
        <w:t>of the data and their construction.</w:t>
      </w:r>
    </w:p>
    <w:p w:rsidR="00D03B78" w:rsidRPr="009D1F8E" w:rsidRDefault="00D03B78" w:rsidP="006D2EA9">
      <w:pPr>
        <w:pStyle w:val="Heading2"/>
        <w:rPr>
          <w:sz w:val="21"/>
          <w:szCs w:val="21"/>
        </w:rPr>
      </w:pPr>
      <w:bookmarkStart w:id="35" w:name="_Toc160608137"/>
      <w:bookmarkStart w:id="36" w:name="_Toc160608202"/>
      <w:bookmarkStart w:id="37" w:name="_Toc160608390"/>
      <w:bookmarkStart w:id="38" w:name="_Toc160608964"/>
      <w:bookmarkStart w:id="39" w:name="_Toc160609097"/>
      <w:bookmarkStart w:id="40" w:name="_Toc160609230"/>
      <w:bookmarkStart w:id="41" w:name="_Toc163533440"/>
      <w:bookmarkStart w:id="42" w:name="_Toc169343741"/>
      <w:bookmarkStart w:id="43" w:name="_Toc174936720"/>
      <w:bookmarkStart w:id="44" w:name="_Toc203897736"/>
      <w:bookmarkStart w:id="45" w:name="_Toc203898410"/>
      <w:bookmarkStart w:id="46" w:name="_Toc272931519"/>
      <w:bookmarkStart w:id="47" w:name="_Toc273007820"/>
      <w:bookmarkStart w:id="48" w:name="_Toc361730662"/>
      <w:bookmarkStart w:id="49" w:name="_Toc435460611"/>
      <w:bookmarkStart w:id="50" w:name="_Toc445973517"/>
      <w:r w:rsidRPr="009D1F8E">
        <w:rPr>
          <w:sz w:val="21"/>
          <w:szCs w:val="21"/>
        </w:rPr>
        <w:t>1.2.</w:t>
      </w:r>
      <w:r w:rsidRPr="009D1F8E">
        <w:rPr>
          <w:sz w:val="21"/>
          <w:szCs w:val="21"/>
        </w:rPr>
        <w:tab/>
        <w:t xml:space="preserve">Target </w:t>
      </w:r>
      <w:bookmarkEnd w:id="35"/>
      <w:bookmarkEnd w:id="36"/>
      <w:bookmarkEnd w:id="37"/>
      <w:bookmarkEnd w:id="38"/>
      <w:bookmarkEnd w:id="39"/>
      <w:bookmarkEnd w:id="40"/>
      <w:bookmarkEnd w:id="41"/>
      <w:bookmarkEnd w:id="42"/>
      <w:bookmarkEnd w:id="43"/>
      <w:r w:rsidRPr="009D1F8E">
        <w:rPr>
          <w:sz w:val="21"/>
          <w:szCs w:val="21"/>
        </w:rPr>
        <w:t>readership</w:t>
      </w:r>
      <w:bookmarkEnd w:id="44"/>
      <w:bookmarkEnd w:id="45"/>
      <w:bookmarkEnd w:id="46"/>
      <w:bookmarkEnd w:id="47"/>
      <w:bookmarkEnd w:id="48"/>
      <w:bookmarkEnd w:id="49"/>
      <w:bookmarkEnd w:id="50"/>
    </w:p>
    <w:p w:rsidR="00D03B78" w:rsidRPr="004D3416" w:rsidRDefault="00D03B78" w:rsidP="006D2EA9">
      <w:pPr>
        <w:pStyle w:val="Num-DocParagraph"/>
        <w:spacing w:after="120"/>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3</w:instrText>
      </w:r>
      <w:r>
        <w:rPr>
          <w:sz w:val="21"/>
          <w:szCs w:val="21"/>
        </w:rPr>
        <w:fldChar w:fldCharType="end"/>
      </w:r>
      <w:r>
        <w:rPr>
          <w:sz w:val="21"/>
          <w:szCs w:val="21"/>
        </w:rPr>
        <w:instrText>.</w:instrText>
      </w:r>
      <w:r>
        <w:rPr>
          <w:sz w:val="21"/>
          <w:szCs w:val="21"/>
        </w:rPr>
        <w:tab/>
      </w:r>
      <w:r>
        <w:rPr>
          <w:sz w:val="21"/>
          <w:szCs w:val="21"/>
        </w:rPr>
        <w:fldChar w:fldCharType="end"/>
      </w:r>
      <w:r w:rsidRPr="004D3416">
        <w:rPr>
          <w:sz w:val="21"/>
          <w:szCs w:val="21"/>
        </w:rPr>
        <w:t xml:space="preserve">This manual </w:t>
      </w:r>
      <w:r>
        <w:rPr>
          <w:sz w:val="21"/>
          <w:szCs w:val="21"/>
        </w:rPr>
        <w:t xml:space="preserve">is intended to </w:t>
      </w:r>
      <w:r w:rsidRPr="004D3416">
        <w:rPr>
          <w:sz w:val="21"/>
          <w:szCs w:val="21"/>
        </w:rPr>
        <w:t xml:space="preserve">assist those wanting to gain a </w:t>
      </w:r>
      <w:r>
        <w:rPr>
          <w:sz w:val="21"/>
          <w:szCs w:val="21"/>
        </w:rPr>
        <w:t>better</w:t>
      </w:r>
      <w:r w:rsidRPr="004D3416">
        <w:rPr>
          <w:sz w:val="21"/>
          <w:szCs w:val="21"/>
        </w:rPr>
        <w:t xml:space="preserve"> appreciation of the method</w:t>
      </w:r>
      <w:r>
        <w:rPr>
          <w:sz w:val="21"/>
          <w:szCs w:val="21"/>
        </w:rPr>
        <w:t>s</w:t>
      </w:r>
      <w:r w:rsidRPr="004D3416">
        <w:rPr>
          <w:sz w:val="21"/>
          <w:szCs w:val="21"/>
        </w:rPr>
        <w:t xml:space="preserve"> and process</w:t>
      </w:r>
      <w:r>
        <w:rPr>
          <w:sz w:val="21"/>
          <w:szCs w:val="21"/>
        </w:rPr>
        <w:t>es</w:t>
      </w:r>
      <w:r w:rsidRPr="004D3416">
        <w:rPr>
          <w:sz w:val="21"/>
          <w:szCs w:val="21"/>
        </w:rPr>
        <w:t xml:space="preserve"> used to </w:t>
      </w:r>
      <w:r>
        <w:rPr>
          <w:sz w:val="21"/>
          <w:szCs w:val="21"/>
        </w:rPr>
        <w:t>produce the database</w:t>
      </w:r>
      <w:r w:rsidRPr="004D3416">
        <w:rPr>
          <w:sz w:val="21"/>
          <w:szCs w:val="21"/>
        </w:rPr>
        <w:t xml:space="preserve">, </w:t>
      </w:r>
      <w:r>
        <w:rPr>
          <w:sz w:val="21"/>
          <w:szCs w:val="21"/>
        </w:rPr>
        <w:t>and in particular for</w:t>
      </w:r>
      <w:r w:rsidRPr="004D3416">
        <w:rPr>
          <w:sz w:val="21"/>
          <w:szCs w:val="21"/>
        </w:rPr>
        <w:t>:</w:t>
      </w:r>
    </w:p>
    <w:p w:rsidR="00D03B78" w:rsidRPr="004D3416" w:rsidRDefault="00D03B78" w:rsidP="006D2EA9">
      <w:pPr>
        <w:pStyle w:val="ListBullet"/>
        <w:tabs>
          <w:tab w:val="clear" w:pos="850"/>
          <w:tab w:val="num" w:pos="975"/>
        </w:tabs>
        <w:spacing w:after="120"/>
        <w:ind w:left="975"/>
        <w:rPr>
          <w:sz w:val="21"/>
          <w:szCs w:val="21"/>
        </w:rPr>
      </w:pPr>
      <w:r w:rsidRPr="004D3416">
        <w:rPr>
          <w:sz w:val="21"/>
          <w:szCs w:val="21"/>
        </w:rPr>
        <w:t>Policy makers and analysts who w</w:t>
      </w:r>
      <w:r>
        <w:rPr>
          <w:sz w:val="21"/>
          <w:szCs w:val="21"/>
        </w:rPr>
        <w:t>ould like to use the data</w:t>
      </w:r>
      <w:r w:rsidRPr="004D3416">
        <w:rPr>
          <w:sz w:val="21"/>
          <w:szCs w:val="21"/>
        </w:rPr>
        <w:t xml:space="preserve"> for policy evaluation, to classify a new policy measure, or to evaluate the impact of a policy change.</w:t>
      </w:r>
    </w:p>
    <w:p w:rsidR="00D03B78" w:rsidRPr="004D3416" w:rsidRDefault="00D03B78" w:rsidP="006D2EA9">
      <w:pPr>
        <w:pStyle w:val="ListBullet"/>
        <w:tabs>
          <w:tab w:val="clear" w:pos="850"/>
          <w:tab w:val="num" w:pos="975"/>
        </w:tabs>
        <w:spacing w:after="120"/>
        <w:ind w:left="975"/>
        <w:rPr>
          <w:sz w:val="21"/>
          <w:szCs w:val="21"/>
        </w:rPr>
      </w:pPr>
      <w:r w:rsidRPr="004D3416">
        <w:rPr>
          <w:sz w:val="21"/>
          <w:szCs w:val="21"/>
        </w:rPr>
        <w:t xml:space="preserve">Researchers who would like to use the economic information contained within the database or to calculate the indicators </w:t>
      </w:r>
      <w:r>
        <w:rPr>
          <w:sz w:val="21"/>
          <w:szCs w:val="21"/>
        </w:rPr>
        <w:t>in other</w:t>
      </w:r>
      <w:r w:rsidRPr="004D3416">
        <w:rPr>
          <w:sz w:val="21"/>
          <w:szCs w:val="21"/>
        </w:rPr>
        <w:t xml:space="preserve"> countries. </w:t>
      </w:r>
    </w:p>
    <w:p w:rsidR="00D03B78" w:rsidRDefault="00D03B78" w:rsidP="006D2EA9">
      <w:pPr>
        <w:pStyle w:val="ListBullet"/>
        <w:tabs>
          <w:tab w:val="clear" w:pos="850"/>
          <w:tab w:val="num" w:pos="975"/>
        </w:tabs>
        <w:spacing w:after="120"/>
        <w:ind w:left="975"/>
        <w:rPr>
          <w:sz w:val="21"/>
          <w:szCs w:val="21"/>
        </w:rPr>
      </w:pPr>
      <w:r w:rsidRPr="004D3416">
        <w:rPr>
          <w:sz w:val="21"/>
          <w:szCs w:val="21"/>
        </w:rPr>
        <w:t xml:space="preserve">Modellers who would like to use the information contained in the database as an input into their own </w:t>
      </w:r>
      <w:r>
        <w:rPr>
          <w:sz w:val="21"/>
          <w:szCs w:val="21"/>
        </w:rPr>
        <w:t>work</w:t>
      </w:r>
      <w:r w:rsidRPr="004D3416">
        <w:rPr>
          <w:sz w:val="21"/>
          <w:szCs w:val="21"/>
        </w:rPr>
        <w:t>, so that they understand the character of the information, and can appropriately take this into account in designing their model structures and values.</w:t>
      </w:r>
    </w:p>
    <w:p w:rsidR="00D03B78" w:rsidRDefault="00D03B78" w:rsidP="006D2EA9">
      <w:pPr>
        <w:pStyle w:val="Num-DocParagraph"/>
      </w:pPr>
      <w:r>
        <w:br w:type="page"/>
      </w:r>
    </w:p>
    <w:bookmarkStart w:id="51" w:name="_Chapter_2._"/>
    <w:bookmarkStart w:id="52" w:name="Chapter_2"/>
    <w:bookmarkStart w:id="53" w:name="_Toc272931521"/>
    <w:bookmarkStart w:id="54" w:name="_Toc273007822"/>
    <w:bookmarkStart w:id="55" w:name="_Toc361730664"/>
    <w:bookmarkEnd w:id="51"/>
    <w:p w:rsidR="00D03B78" w:rsidRPr="00084208" w:rsidRDefault="00D03B78" w:rsidP="006D2EA9">
      <w:pPr>
        <w:pStyle w:val="Heading1"/>
        <w:spacing w:after="240"/>
        <w:rPr>
          <w:sz w:val="21"/>
          <w:szCs w:val="21"/>
        </w:rPr>
      </w:pPr>
      <w:r>
        <w:lastRenderedPageBreak/>
        <w:fldChar w:fldCharType="begin"/>
      </w:r>
      <w:r>
        <w:instrText xml:space="preserve"> MACROBUTTON NUMBERING </w:instrText>
      </w:r>
      <w:r>
        <w:fldChar w:fldCharType="begin"/>
      </w:r>
      <w:r>
        <w:instrText xml:space="preserve"> SEQ  cpara \h \r 0</w:instrText>
      </w:r>
      <w:r>
        <w:fldChar w:fldCharType="end"/>
      </w:r>
      <w:r>
        <w:fldChar w:fldCharType="begin"/>
      </w:r>
      <w:r>
        <w:instrText xml:space="preserve"> SEQ  ccount \h</w:instrText>
      </w:r>
      <w:r>
        <w:fldChar w:fldCharType="end"/>
      </w:r>
      <w:bookmarkStart w:id="56" w:name="_Toc435460612"/>
      <w:bookmarkStart w:id="57" w:name="_Toc445973518"/>
      <w:r>
        <w:fldChar w:fldCharType="end"/>
      </w:r>
      <w:r w:rsidRPr="00084208">
        <w:t xml:space="preserve">Chapter 2 </w:t>
      </w:r>
      <w:bookmarkEnd w:id="52"/>
      <w:r w:rsidRPr="00084208">
        <w:br/>
      </w:r>
      <w:r w:rsidRPr="00084208">
        <w:br/>
      </w:r>
      <w:r w:rsidR="006B45AC">
        <w:t>Purpose and scope of</w:t>
      </w:r>
      <w:r w:rsidRPr="00084208">
        <w:t xml:space="preserve"> the OECD </w:t>
      </w:r>
      <w:bookmarkEnd w:id="53"/>
      <w:bookmarkEnd w:id="54"/>
      <w:bookmarkEnd w:id="55"/>
      <w:r w:rsidRPr="00084208">
        <w:t>fisheries support estimate</w:t>
      </w:r>
      <w:bookmarkEnd w:id="56"/>
      <w:bookmarkEnd w:id="57"/>
    </w:p>
    <w:p w:rsidR="00D03B78" w:rsidRPr="004D3416" w:rsidRDefault="003A1E2E" w:rsidP="006D2EA9">
      <w:pPr>
        <w:pStyle w:val="Num-DocParagraph"/>
        <w:rPr>
          <w:sz w:val="21"/>
          <w:szCs w:val="21"/>
        </w:rPr>
      </w:pPr>
      <w:r>
        <w:rPr>
          <w:sz w:val="21"/>
          <w:szCs w:val="21"/>
        </w:rPr>
        <w:fldChar w:fldCharType="begin"/>
      </w:r>
      <w:r>
        <w:rPr>
          <w:sz w:val="21"/>
          <w:szCs w:val="21"/>
        </w:rPr>
        <w:instrText xml:space="preserve"> MACROBUTTON PARADOC </w:instrText>
      </w:r>
      <w:r>
        <w:rPr>
          <w:sz w:val="21"/>
          <w:szCs w:val="21"/>
        </w:rPr>
        <w:fldChar w:fldCharType="begin"/>
      </w:r>
      <w:r>
        <w:rPr>
          <w:sz w:val="21"/>
          <w:szCs w:val="21"/>
        </w:rPr>
        <w:instrText xml:space="preserve"> SEQ dpara \h \r 3</w:instrText>
      </w:r>
      <w:r>
        <w:rPr>
          <w:sz w:val="21"/>
          <w:szCs w:val="21"/>
        </w:rPr>
        <w:fldChar w:fldCharType="end"/>
      </w:r>
      <w:r>
        <w:rPr>
          <w:sz w:val="21"/>
          <w:szCs w:val="21"/>
        </w:rPr>
        <w:fldChar w:fldCharType="end"/>
      </w:r>
      <w:r w:rsidR="00D03B78" w:rsidRPr="004D3416">
        <w:rPr>
          <w:sz w:val="21"/>
          <w:szCs w:val="21"/>
        </w:rPr>
        <w:fldChar w:fldCharType="begin"/>
      </w:r>
      <w:r w:rsidR="00D03B78" w:rsidRPr="004D3416">
        <w:rPr>
          <w:sz w:val="21"/>
          <w:szCs w:val="21"/>
        </w:rPr>
        <w:instrText xml:space="preserve"> MACROBUTTON NUMBERING </w:instrText>
      </w:r>
      <w:r w:rsidR="00D03B78" w:rsidRPr="004D3416">
        <w:rPr>
          <w:sz w:val="21"/>
          <w:szCs w:val="21"/>
        </w:rPr>
        <w:fldChar w:fldCharType="begin"/>
      </w:r>
      <w:r w:rsidR="00D03B78" w:rsidRPr="004D3416">
        <w:rPr>
          <w:sz w:val="21"/>
          <w:szCs w:val="21"/>
        </w:rPr>
        <w:instrText xml:space="preserve"> SEQ  dpara</w:instrText>
      </w:r>
      <w:r w:rsidR="00D03B78" w:rsidRPr="004D3416">
        <w:rPr>
          <w:sz w:val="21"/>
          <w:szCs w:val="21"/>
        </w:rPr>
        <w:fldChar w:fldCharType="separate"/>
      </w:r>
      <w:r w:rsidR="0042183E">
        <w:rPr>
          <w:noProof/>
          <w:sz w:val="21"/>
          <w:szCs w:val="21"/>
        </w:rPr>
        <w:instrText>4</w:instrText>
      </w:r>
      <w:r w:rsidR="00D03B78" w:rsidRPr="004D3416">
        <w:rPr>
          <w:sz w:val="21"/>
          <w:szCs w:val="21"/>
        </w:rPr>
        <w:fldChar w:fldCharType="end"/>
      </w:r>
      <w:r w:rsidR="00D03B78" w:rsidRPr="004D3416">
        <w:rPr>
          <w:sz w:val="21"/>
          <w:szCs w:val="21"/>
        </w:rPr>
        <w:instrText>.</w:instrText>
      </w:r>
      <w:r w:rsidR="00D03B78" w:rsidRPr="004D3416">
        <w:rPr>
          <w:sz w:val="21"/>
          <w:szCs w:val="21"/>
        </w:rPr>
        <w:tab/>
      </w:r>
      <w:r w:rsidR="00D03B78" w:rsidRPr="004D3416">
        <w:rPr>
          <w:sz w:val="21"/>
          <w:szCs w:val="21"/>
        </w:rPr>
        <w:fldChar w:fldCharType="end"/>
      </w:r>
      <w:r w:rsidR="00D03B78" w:rsidRPr="004D3416">
        <w:rPr>
          <w:sz w:val="21"/>
          <w:szCs w:val="21"/>
        </w:rPr>
        <w:t xml:space="preserve">This chapter begins with a brief summary of why the OECD </w:t>
      </w:r>
      <w:r w:rsidR="006B45AC">
        <w:rPr>
          <w:sz w:val="21"/>
          <w:szCs w:val="21"/>
        </w:rPr>
        <w:t>fisheries support estimate database (FSE) has</w:t>
      </w:r>
      <w:r w:rsidR="00D03B78" w:rsidRPr="004D3416">
        <w:rPr>
          <w:sz w:val="21"/>
          <w:szCs w:val="21"/>
        </w:rPr>
        <w:t xml:space="preserve"> been developed. The second section defines the</w:t>
      </w:r>
      <w:r w:rsidR="006B45AC">
        <w:rPr>
          <w:sz w:val="21"/>
          <w:szCs w:val="21"/>
        </w:rPr>
        <w:t xml:space="preserve"> main</w:t>
      </w:r>
      <w:r w:rsidR="00D03B78" w:rsidRPr="004D3416">
        <w:rPr>
          <w:sz w:val="21"/>
          <w:szCs w:val="21"/>
        </w:rPr>
        <w:t xml:space="preserve"> indicators</w:t>
      </w:r>
      <w:r w:rsidR="006B45AC">
        <w:rPr>
          <w:sz w:val="21"/>
          <w:szCs w:val="21"/>
        </w:rPr>
        <w:t xml:space="preserve"> derived from the FSE database</w:t>
      </w:r>
      <w:r w:rsidR="00D03B78" w:rsidRPr="004D3416">
        <w:rPr>
          <w:sz w:val="21"/>
          <w:szCs w:val="21"/>
        </w:rPr>
        <w:t xml:space="preserve">, and the final section outlines the underlying principles on which the </w:t>
      </w:r>
      <w:r w:rsidR="006B45AC">
        <w:rPr>
          <w:sz w:val="21"/>
          <w:szCs w:val="21"/>
        </w:rPr>
        <w:t>database is</w:t>
      </w:r>
      <w:r w:rsidR="00D03B78" w:rsidRPr="004D3416">
        <w:rPr>
          <w:sz w:val="21"/>
          <w:szCs w:val="21"/>
        </w:rPr>
        <w:t xml:space="preserve"> established.</w:t>
      </w:r>
    </w:p>
    <w:p w:rsidR="00D03B78" w:rsidRPr="009D1F8E" w:rsidRDefault="00D03B78" w:rsidP="006D2EA9">
      <w:pPr>
        <w:pStyle w:val="Heading2"/>
        <w:spacing w:after="200"/>
        <w:rPr>
          <w:sz w:val="21"/>
          <w:szCs w:val="21"/>
        </w:rPr>
      </w:pPr>
      <w:bookmarkStart w:id="58" w:name="_Toc160608140"/>
      <w:bookmarkStart w:id="59" w:name="_Toc160608205"/>
      <w:bookmarkStart w:id="60" w:name="_Toc160608393"/>
      <w:bookmarkStart w:id="61" w:name="_Toc160608967"/>
      <w:bookmarkStart w:id="62" w:name="_Toc160609100"/>
      <w:bookmarkStart w:id="63" w:name="_Toc160609233"/>
      <w:bookmarkStart w:id="64" w:name="_Toc163533443"/>
      <w:bookmarkStart w:id="65" w:name="_Toc169343745"/>
      <w:bookmarkStart w:id="66" w:name="_Toc174936723"/>
      <w:bookmarkStart w:id="67" w:name="_Toc203897739"/>
      <w:bookmarkStart w:id="68" w:name="_Toc203898413"/>
      <w:bookmarkStart w:id="69" w:name="_Toc272931522"/>
      <w:bookmarkStart w:id="70" w:name="_Toc273007823"/>
      <w:bookmarkStart w:id="71" w:name="_Toc361730665"/>
      <w:bookmarkStart w:id="72" w:name="_Toc435460613"/>
      <w:bookmarkStart w:id="73" w:name="_Toc445973519"/>
      <w:bookmarkStart w:id="74" w:name="_Toc160608143"/>
      <w:bookmarkStart w:id="75" w:name="_Toc160608208"/>
      <w:bookmarkStart w:id="76" w:name="_Toc160608396"/>
      <w:bookmarkStart w:id="77" w:name="_Toc160608970"/>
      <w:bookmarkStart w:id="78" w:name="_Toc160609103"/>
      <w:bookmarkStart w:id="79" w:name="_Toc160609236"/>
      <w:bookmarkStart w:id="80" w:name="_Toc163533446"/>
      <w:bookmarkStart w:id="81" w:name="_Toc169343744"/>
      <w:r w:rsidRPr="009D1F8E">
        <w:rPr>
          <w:sz w:val="21"/>
          <w:szCs w:val="21"/>
        </w:rPr>
        <w:t>2.1.</w:t>
      </w:r>
      <w:r w:rsidRPr="009D1F8E">
        <w:rPr>
          <w:sz w:val="21"/>
          <w:szCs w:val="21"/>
        </w:rPr>
        <w:tab/>
        <w:t>Why measure support to fisheries?</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7FFFF"/>
        <w:tblLook w:val="01E0" w:firstRow="1" w:lastRow="1" w:firstColumn="1" w:lastColumn="1" w:noHBand="0" w:noVBand="0"/>
      </w:tblPr>
      <w:tblGrid>
        <w:gridCol w:w="9498"/>
      </w:tblGrid>
      <w:tr w:rsidR="00D03B78" w:rsidRPr="004D3416" w:rsidTr="006D2EA9">
        <w:tc>
          <w:tcPr>
            <w:tcW w:w="9498" w:type="dxa"/>
            <w:shd w:val="clear" w:color="auto" w:fill="F7FFFF"/>
          </w:tcPr>
          <w:p w:rsidR="00D03B78" w:rsidRDefault="00D03B78" w:rsidP="00391132">
            <w:pPr>
              <w:pStyle w:val="ListBullet"/>
              <w:tabs>
                <w:tab w:val="clear" w:pos="850"/>
                <w:tab w:val="left" w:pos="440"/>
                <w:tab w:val="num" w:pos="975"/>
              </w:tabs>
              <w:spacing w:before="120" w:after="120"/>
              <w:ind w:left="440" w:hanging="440"/>
              <w:rPr>
                <w:rFonts w:ascii="Arial" w:hAnsi="Arial" w:cs="Arial"/>
                <w:sz w:val="17"/>
                <w:szCs w:val="17"/>
              </w:rPr>
            </w:pPr>
            <w:r w:rsidRPr="00CC325B">
              <w:rPr>
                <w:rFonts w:ascii="Arial" w:hAnsi="Arial" w:cs="Arial"/>
                <w:sz w:val="17"/>
                <w:szCs w:val="17"/>
              </w:rPr>
              <w:t xml:space="preserve">The OECD </w:t>
            </w:r>
            <w:r w:rsidR="006B45AC">
              <w:rPr>
                <w:rFonts w:ascii="Arial" w:hAnsi="Arial" w:cs="Arial"/>
                <w:sz w:val="17"/>
                <w:szCs w:val="17"/>
              </w:rPr>
              <w:t>FSE database is</w:t>
            </w:r>
            <w:r>
              <w:rPr>
                <w:rFonts w:ascii="Arial" w:hAnsi="Arial" w:cs="Arial"/>
                <w:sz w:val="17"/>
                <w:szCs w:val="17"/>
              </w:rPr>
              <w:t xml:space="preserve"> designed</w:t>
            </w:r>
            <w:r w:rsidRPr="00CC325B">
              <w:rPr>
                <w:rFonts w:ascii="Arial" w:hAnsi="Arial" w:cs="Arial"/>
                <w:sz w:val="17"/>
                <w:szCs w:val="17"/>
              </w:rPr>
              <w:t xml:space="preserve"> to monitor and </w:t>
            </w:r>
            <w:r>
              <w:rPr>
                <w:rFonts w:ascii="Arial" w:hAnsi="Arial" w:cs="Arial"/>
                <w:sz w:val="17"/>
                <w:szCs w:val="17"/>
              </w:rPr>
              <w:t>quantify</w:t>
            </w:r>
            <w:r w:rsidRPr="00CC325B">
              <w:rPr>
                <w:rFonts w:ascii="Arial" w:hAnsi="Arial" w:cs="Arial"/>
                <w:sz w:val="17"/>
                <w:szCs w:val="17"/>
              </w:rPr>
              <w:t xml:space="preserve"> developments in </w:t>
            </w:r>
            <w:r>
              <w:rPr>
                <w:rFonts w:ascii="Arial" w:hAnsi="Arial" w:cs="Arial"/>
                <w:sz w:val="17"/>
                <w:szCs w:val="17"/>
              </w:rPr>
              <w:t>fisheries</w:t>
            </w:r>
            <w:r w:rsidRPr="00CC325B">
              <w:rPr>
                <w:rFonts w:ascii="Arial" w:hAnsi="Arial" w:cs="Arial"/>
                <w:sz w:val="17"/>
                <w:szCs w:val="17"/>
              </w:rPr>
              <w:t xml:space="preserve"> policy, to establish a common bas</w:t>
            </w:r>
            <w:r>
              <w:rPr>
                <w:rFonts w:ascii="Arial" w:hAnsi="Arial" w:cs="Arial"/>
                <w:sz w:val="17"/>
                <w:szCs w:val="17"/>
              </w:rPr>
              <w:t>is</w:t>
            </w:r>
            <w:r w:rsidRPr="00CC325B">
              <w:rPr>
                <w:rFonts w:ascii="Arial" w:hAnsi="Arial" w:cs="Arial"/>
                <w:sz w:val="17"/>
                <w:szCs w:val="17"/>
              </w:rPr>
              <w:t xml:space="preserve"> for policy dialogue among countries, and to provide economic data to assess the effectiveness and efficiency of policies.</w:t>
            </w:r>
          </w:p>
          <w:p w:rsidR="00ED262E" w:rsidRPr="00BD4A91" w:rsidRDefault="00ED262E" w:rsidP="00ED262E">
            <w:pPr>
              <w:pStyle w:val="ListBullet"/>
              <w:tabs>
                <w:tab w:val="clear" w:pos="850"/>
                <w:tab w:val="left" w:pos="440"/>
                <w:tab w:val="num" w:pos="975"/>
              </w:tabs>
              <w:spacing w:before="120" w:after="120"/>
              <w:ind w:left="442" w:hanging="442"/>
              <w:rPr>
                <w:rFonts w:ascii="Arial" w:hAnsi="Arial" w:cs="Arial"/>
                <w:sz w:val="17"/>
                <w:szCs w:val="17"/>
              </w:rPr>
            </w:pPr>
            <w:r w:rsidRPr="00BD4A91">
              <w:rPr>
                <w:rFonts w:ascii="Arial" w:hAnsi="Arial" w:cs="Arial"/>
                <w:sz w:val="17"/>
                <w:szCs w:val="17"/>
              </w:rPr>
              <w:t>“Support” is understood as transfers from domestic governments to domestic fishers, arising from governments’ policies</w:t>
            </w:r>
            <w:r>
              <w:rPr>
                <w:rFonts w:ascii="Arial" w:hAnsi="Arial" w:cs="Arial"/>
                <w:sz w:val="17"/>
                <w:szCs w:val="17"/>
              </w:rPr>
              <w:t xml:space="preserve"> and may be budgetary or non-budgetary in nature.</w:t>
            </w:r>
          </w:p>
          <w:p w:rsidR="00ED262E" w:rsidRPr="00ED262E" w:rsidRDefault="00ED262E" w:rsidP="00ED262E">
            <w:pPr>
              <w:pStyle w:val="ListBullet"/>
              <w:tabs>
                <w:tab w:val="clear" w:pos="850"/>
                <w:tab w:val="left" w:pos="440"/>
                <w:tab w:val="num" w:pos="975"/>
              </w:tabs>
              <w:spacing w:before="120" w:after="120"/>
              <w:ind w:left="440" w:hanging="440"/>
              <w:rPr>
                <w:rFonts w:ascii="Arial" w:hAnsi="Arial" w:cs="Arial"/>
                <w:sz w:val="17"/>
                <w:szCs w:val="17"/>
              </w:rPr>
            </w:pPr>
            <w:r>
              <w:rPr>
                <w:rFonts w:ascii="Arial" w:hAnsi="Arial" w:cs="Arial"/>
                <w:sz w:val="17"/>
                <w:szCs w:val="17"/>
              </w:rPr>
              <w:t>The information in the database</w:t>
            </w:r>
            <w:r w:rsidRPr="00CC325B">
              <w:rPr>
                <w:rFonts w:ascii="Arial" w:hAnsi="Arial" w:cs="Arial"/>
                <w:sz w:val="17"/>
                <w:szCs w:val="17"/>
              </w:rPr>
              <w:t xml:space="preserve"> reflect</w:t>
            </w:r>
            <w:r>
              <w:rPr>
                <w:rFonts w:ascii="Arial" w:hAnsi="Arial" w:cs="Arial"/>
                <w:sz w:val="17"/>
                <w:szCs w:val="17"/>
              </w:rPr>
              <w:t>s</w:t>
            </w:r>
            <w:r w:rsidRPr="00CC325B">
              <w:rPr>
                <w:rFonts w:ascii="Arial" w:hAnsi="Arial" w:cs="Arial"/>
                <w:sz w:val="17"/>
                <w:szCs w:val="17"/>
              </w:rPr>
              <w:t xml:space="preserve"> the provision of support, or the level of effort made by governments, as implied by their </w:t>
            </w:r>
            <w:r>
              <w:rPr>
                <w:rFonts w:ascii="Arial" w:hAnsi="Arial" w:cs="Arial"/>
                <w:sz w:val="17"/>
                <w:szCs w:val="17"/>
              </w:rPr>
              <w:t>fisheries</w:t>
            </w:r>
            <w:r w:rsidRPr="00CC325B">
              <w:rPr>
                <w:rFonts w:ascii="Arial" w:hAnsi="Arial" w:cs="Arial"/>
                <w:sz w:val="17"/>
                <w:szCs w:val="17"/>
              </w:rPr>
              <w:t xml:space="preserve"> policies. </w:t>
            </w:r>
            <w:r>
              <w:rPr>
                <w:rFonts w:ascii="Arial" w:hAnsi="Arial" w:cs="Arial"/>
                <w:sz w:val="17"/>
                <w:szCs w:val="17"/>
              </w:rPr>
              <w:t>It does not directly</w:t>
            </w:r>
            <w:r w:rsidRPr="00CC325B">
              <w:rPr>
                <w:rFonts w:ascii="Arial" w:hAnsi="Arial" w:cs="Arial"/>
                <w:sz w:val="17"/>
                <w:szCs w:val="17"/>
              </w:rPr>
              <w:t xml:space="preserve"> measure policy impacts on </w:t>
            </w:r>
            <w:r>
              <w:rPr>
                <w:rFonts w:ascii="Arial" w:hAnsi="Arial" w:cs="Arial"/>
                <w:sz w:val="17"/>
                <w:szCs w:val="17"/>
              </w:rPr>
              <w:t>harvest</w:t>
            </w:r>
            <w:r w:rsidRPr="00CC325B">
              <w:rPr>
                <w:rFonts w:ascii="Arial" w:hAnsi="Arial" w:cs="Arial"/>
                <w:sz w:val="17"/>
                <w:szCs w:val="17"/>
              </w:rPr>
              <w:t>, incomes, consumption, trade or environment.</w:t>
            </w:r>
          </w:p>
        </w:tc>
      </w:tr>
    </w:tbl>
    <w:p w:rsidR="00D03B78" w:rsidRPr="004D3416" w:rsidRDefault="00D03B78" w:rsidP="006D2EA9">
      <w:pPr>
        <w:pStyle w:val="Num-DocParagraph"/>
        <w:spacing w:before="240"/>
        <w:rPr>
          <w:sz w:val="21"/>
          <w:szCs w:val="21"/>
        </w:rPr>
      </w:pPr>
      <w:r w:rsidRPr="004D3416">
        <w:rPr>
          <w:sz w:val="21"/>
          <w:szCs w:val="21"/>
        </w:rPr>
        <w:fldChar w:fldCharType="begin"/>
      </w:r>
      <w:r w:rsidRPr="004D3416">
        <w:rPr>
          <w:sz w:val="21"/>
          <w:szCs w:val="21"/>
        </w:rPr>
        <w:instrText xml:space="preserve"> MACROBUTTON NUMBERING </w:instrText>
      </w:r>
      <w:r w:rsidRPr="004D3416">
        <w:rPr>
          <w:sz w:val="21"/>
          <w:szCs w:val="21"/>
        </w:rPr>
        <w:fldChar w:fldCharType="begin"/>
      </w:r>
      <w:r w:rsidRPr="004D3416">
        <w:rPr>
          <w:sz w:val="21"/>
          <w:szCs w:val="21"/>
        </w:rPr>
        <w:instrText xml:space="preserve"> SEQ  dpara</w:instrText>
      </w:r>
      <w:r w:rsidRPr="004D3416">
        <w:rPr>
          <w:sz w:val="21"/>
          <w:szCs w:val="21"/>
        </w:rPr>
        <w:fldChar w:fldCharType="separate"/>
      </w:r>
      <w:r w:rsidR="0042183E">
        <w:rPr>
          <w:noProof/>
          <w:sz w:val="21"/>
          <w:szCs w:val="21"/>
        </w:rPr>
        <w:instrText>5</w:instrText>
      </w:r>
      <w:r w:rsidRPr="004D3416">
        <w:rPr>
          <w:sz w:val="21"/>
          <w:szCs w:val="21"/>
        </w:rPr>
        <w:fldChar w:fldCharType="end"/>
      </w:r>
      <w:r w:rsidRPr="004D3416">
        <w:rPr>
          <w:sz w:val="21"/>
          <w:szCs w:val="21"/>
        </w:rPr>
        <w:instrText>.</w:instrText>
      </w:r>
      <w:r w:rsidRPr="004D3416">
        <w:rPr>
          <w:sz w:val="21"/>
          <w:szCs w:val="21"/>
        </w:rPr>
        <w:tab/>
      </w:r>
      <w:r w:rsidRPr="004D3416">
        <w:rPr>
          <w:sz w:val="21"/>
          <w:szCs w:val="21"/>
        </w:rPr>
        <w:fldChar w:fldCharType="end"/>
      </w:r>
      <w:r w:rsidRPr="004D3416">
        <w:rPr>
          <w:sz w:val="21"/>
          <w:szCs w:val="21"/>
        </w:rPr>
        <w:t xml:space="preserve">The objectives and priorities of </w:t>
      </w:r>
      <w:r>
        <w:rPr>
          <w:sz w:val="21"/>
          <w:szCs w:val="21"/>
        </w:rPr>
        <w:t>fisheries</w:t>
      </w:r>
      <w:r w:rsidRPr="004D3416">
        <w:rPr>
          <w:sz w:val="21"/>
          <w:szCs w:val="21"/>
        </w:rPr>
        <w:t xml:space="preserve"> policies in OECD countries </w:t>
      </w:r>
      <w:r>
        <w:rPr>
          <w:sz w:val="21"/>
          <w:szCs w:val="21"/>
        </w:rPr>
        <w:t>cover</w:t>
      </w:r>
      <w:r w:rsidRPr="004D3416">
        <w:rPr>
          <w:sz w:val="21"/>
          <w:szCs w:val="21"/>
        </w:rPr>
        <w:t xml:space="preserve"> a wide range of issues</w:t>
      </w:r>
      <w:r>
        <w:rPr>
          <w:sz w:val="21"/>
          <w:szCs w:val="21"/>
        </w:rPr>
        <w:t>,</w:t>
      </w:r>
      <w:r w:rsidRPr="004D3416">
        <w:rPr>
          <w:sz w:val="21"/>
          <w:szCs w:val="21"/>
        </w:rPr>
        <w:t xml:space="preserve"> </w:t>
      </w:r>
      <w:r>
        <w:rPr>
          <w:sz w:val="21"/>
          <w:szCs w:val="21"/>
        </w:rPr>
        <w:t>including</w:t>
      </w:r>
      <w:r w:rsidRPr="004D3416">
        <w:rPr>
          <w:sz w:val="21"/>
          <w:szCs w:val="21"/>
        </w:rPr>
        <w:t xml:space="preserve"> </w:t>
      </w:r>
      <w:r>
        <w:rPr>
          <w:sz w:val="21"/>
          <w:szCs w:val="21"/>
        </w:rPr>
        <w:t>managing fish stocks, preserving traditional communities and ways of life and</w:t>
      </w:r>
      <w:r w:rsidRPr="004D3416">
        <w:rPr>
          <w:sz w:val="21"/>
          <w:szCs w:val="21"/>
        </w:rPr>
        <w:t xml:space="preserve"> </w:t>
      </w:r>
      <w:r>
        <w:rPr>
          <w:sz w:val="21"/>
          <w:szCs w:val="21"/>
        </w:rPr>
        <w:t>securing production of food</w:t>
      </w:r>
      <w:r w:rsidRPr="004D3416">
        <w:rPr>
          <w:sz w:val="21"/>
          <w:szCs w:val="21"/>
        </w:rPr>
        <w:t>. Policy instruments have been equally varied, reflecting changes in domestic political</w:t>
      </w:r>
      <w:r>
        <w:rPr>
          <w:sz w:val="21"/>
          <w:szCs w:val="21"/>
        </w:rPr>
        <w:t xml:space="preserve"> priorities</w:t>
      </w:r>
      <w:r w:rsidRPr="004D3416">
        <w:rPr>
          <w:sz w:val="21"/>
          <w:szCs w:val="21"/>
        </w:rPr>
        <w:t xml:space="preserve"> and economic settings and developments in the international economic arena. Despite this diversity, policy measures applied in a country within a certain period of time can be brought together and expressed in one or several simple numbers – called support indicators – which are comparable across time and between countries. The utility of doing this is three-fold.</w:t>
      </w:r>
    </w:p>
    <w:p w:rsidR="00D03B78" w:rsidRDefault="00D03B78" w:rsidP="006D2EA9">
      <w:pPr>
        <w:pStyle w:val="Num-DocParagraph"/>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6</w:instrText>
      </w:r>
      <w:r>
        <w:rPr>
          <w:sz w:val="21"/>
          <w:szCs w:val="21"/>
        </w:rPr>
        <w:fldChar w:fldCharType="end"/>
      </w:r>
      <w:r>
        <w:rPr>
          <w:sz w:val="21"/>
          <w:szCs w:val="21"/>
        </w:rPr>
        <w:instrText>.</w:instrText>
      </w:r>
      <w:r>
        <w:rPr>
          <w:sz w:val="21"/>
          <w:szCs w:val="21"/>
        </w:rPr>
        <w:tab/>
      </w:r>
      <w:r>
        <w:rPr>
          <w:sz w:val="21"/>
          <w:szCs w:val="21"/>
        </w:rPr>
        <w:fldChar w:fldCharType="end"/>
      </w:r>
      <w:r w:rsidRPr="004D3416">
        <w:rPr>
          <w:sz w:val="21"/>
          <w:szCs w:val="21"/>
        </w:rPr>
        <w:t xml:space="preserve">First, </w:t>
      </w:r>
      <w:r w:rsidR="00391132">
        <w:rPr>
          <w:sz w:val="21"/>
          <w:szCs w:val="21"/>
        </w:rPr>
        <w:t xml:space="preserve">measuring and classifying </w:t>
      </w:r>
      <w:r w:rsidRPr="004D3416">
        <w:rPr>
          <w:sz w:val="21"/>
          <w:szCs w:val="21"/>
        </w:rPr>
        <w:t xml:space="preserve">support can be used to </w:t>
      </w:r>
      <w:r w:rsidRPr="004D3416">
        <w:rPr>
          <w:b/>
          <w:i/>
          <w:sz w:val="21"/>
          <w:szCs w:val="21"/>
        </w:rPr>
        <w:t xml:space="preserve">monitor and </w:t>
      </w:r>
      <w:r>
        <w:rPr>
          <w:b/>
          <w:i/>
          <w:sz w:val="21"/>
          <w:szCs w:val="21"/>
        </w:rPr>
        <w:t>quantify</w:t>
      </w:r>
      <w:r w:rsidRPr="004D3416">
        <w:rPr>
          <w:b/>
          <w:i/>
          <w:sz w:val="21"/>
          <w:szCs w:val="21"/>
        </w:rPr>
        <w:t xml:space="preserve"> developments </w:t>
      </w:r>
      <w:r>
        <w:rPr>
          <w:b/>
          <w:i/>
          <w:sz w:val="21"/>
          <w:szCs w:val="21"/>
        </w:rPr>
        <w:t>in fisheries</w:t>
      </w:r>
      <w:r w:rsidRPr="004D3416">
        <w:rPr>
          <w:b/>
          <w:i/>
          <w:sz w:val="21"/>
          <w:szCs w:val="21"/>
        </w:rPr>
        <w:t xml:space="preserve"> polic</w:t>
      </w:r>
      <w:r>
        <w:rPr>
          <w:b/>
          <w:i/>
          <w:sz w:val="21"/>
          <w:szCs w:val="21"/>
        </w:rPr>
        <w:t>y</w:t>
      </w:r>
      <w:r w:rsidRPr="004D3416">
        <w:rPr>
          <w:sz w:val="21"/>
          <w:szCs w:val="21"/>
        </w:rPr>
        <w:t>.</w:t>
      </w:r>
      <w:r>
        <w:rPr>
          <w:rStyle w:val="FootnoteReference"/>
          <w:sz w:val="21"/>
          <w:szCs w:val="21"/>
        </w:rPr>
        <w:t xml:space="preserve"> </w:t>
      </w:r>
      <w:r>
        <w:t xml:space="preserve">This supplements and enhances the collection and presentation of information on developments in fisheries as reported in the </w:t>
      </w:r>
      <w:r>
        <w:rPr>
          <w:i/>
        </w:rPr>
        <w:t>OECD Review of Fisheries</w:t>
      </w:r>
      <w:r>
        <w:t>.</w:t>
      </w:r>
      <w:r w:rsidRPr="004D3416">
        <w:rPr>
          <w:sz w:val="21"/>
          <w:szCs w:val="21"/>
        </w:rPr>
        <w:t xml:space="preserve"> </w:t>
      </w:r>
    </w:p>
    <w:p w:rsidR="00D03B78" w:rsidRPr="00997DDC" w:rsidRDefault="00D03B78" w:rsidP="006D2EA9">
      <w:pPr>
        <w:pStyle w:val="Num-DocParagraph"/>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7</w:instrText>
      </w:r>
      <w:r>
        <w:rPr>
          <w:sz w:val="21"/>
          <w:szCs w:val="21"/>
        </w:rPr>
        <w:fldChar w:fldCharType="end"/>
      </w:r>
      <w:r>
        <w:rPr>
          <w:sz w:val="21"/>
          <w:szCs w:val="21"/>
        </w:rPr>
        <w:instrText>.</w:instrText>
      </w:r>
      <w:r>
        <w:rPr>
          <w:sz w:val="21"/>
          <w:szCs w:val="21"/>
        </w:rPr>
        <w:tab/>
      </w:r>
      <w:r>
        <w:rPr>
          <w:sz w:val="21"/>
          <w:szCs w:val="21"/>
        </w:rPr>
        <w:fldChar w:fldCharType="end"/>
      </w:r>
      <w:r w:rsidRPr="00997DDC">
        <w:rPr>
          <w:sz w:val="21"/>
          <w:szCs w:val="21"/>
        </w:rPr>
        <w:t xml:space="preserve">Closely related to this, the </w:t>
      </w:r>
      <w:r w:rsidR="00391132">
        <w:rPr>
          <w:sz w:val="21"/>
          <w:szCs w:val="21"/>
        </w:rPr>
        <w:t>data</w:t>
      </w:r>
      <w:r w:rsidRPr="00997DDC">
        <w:rPr>
          <w:sz w:val="21"/>
          <w:szCs w:val="21"/>
        </w:rPr>
        <w:t xml:space="preserve"> establish a</w:t>
      </w:r>
      <w:r w:rsidRPr="00997DDC">
        <w:rPr>
          <w:b/>
          <w:i/>
          <w:sz w:val="21"/>
          <w:szCs w:val="21"/>
        </w:rPr>
        <w:t xml:space="preserve"> common bas</w:t>
      </w:r>
      <w:r>
        <w:rPr>
          <w:b/>
          <w:i/>
          <w:sz w:val="21"/>
          <w:szCs w:val="21"/>
        </w:rPr>
        <w:t>is</w:t>
      </w:r>
      <w:r w:rsidRPr="00997DDC">
        <w:rPr>
          <w:b/>
          <w:i/>
          <w:sz w:val="21"/>
          <w:szCs w:val="21"/>
        </w:rPr>
        <w:t xml:space="preserve"> for policy dialogue</w:t>
      </w:r>
      <w:r w:rsidRPr="00997DDC">
        <w:rPr>
          <w:sz w:val="21"/>
          <w:szCs w:val="21"/>
        </w:rPr>
        <w:t xml:space="preserve"> by using a consistent and comparable method to evaluate the nature and incidence of policies. The international comparability of the </w:t>
      </w:r>
      <w:r w:rsidR="00391132">
        <w:rPr>
          <w:sz w:val="21"/>
          <w:szCs w:val="21"/>
        </w:rPr>
        <w:t>data</w:t>
      </w:r>
      <w:r w:rsidRPr="00997DDC">
        <w:rPr>
          <w:sz w:val="21"/>
          <w:szCs w:val="21"/>
        </w:rPr>
        <w:t xml:space="preserve"> and wide country coverage makes </w:t>
      </w:r>
      <w:r w:rsidR="00391132">
        <w:rPr>
          <w:sz w:val="21"/>
          <w:szCs w:val="21"/>
        </w:rPr>
        <w:t>is</w:t>
      </w:r>
      <w:r w:rsidRPr="00997DDC">
        <w:rPr>
          <w:sz w:val="21"/>
          <w:szCs w:val="21"/>
        </w:rPr>
        <w:t xml:space="preserve"> a useful tool for policy </w:t>
      </w:r>
      <w:r>
        <w:rPr>
          <w:sz w:val="21"/>
          <w:szCs w:val="21"/>
        </w:rPr>
        <w:t>makers</w:t>
      </w:r>
      <w:r w:rsidRPr="00997DDC">
        <w:rPr>
          <w:sz w:val="21"/>
          <w:szCs w:val="21"/>
        </w:rPr>
        <w:t xml:space="preserve"> as well as research institutions</w:t>
      </w:r>
      <w:r>
        <w:rPr>
          <w:sz w:val="21"/>
          <w:szCs w:val="21"/>
        </w:rPr>
        <w:t xml:space="preserve"> and other interested organisations</w:t>
      </w:r>
      <w:r w:rsidRPr="00997DDC">
        <w:rPr>
          <w:sz w:val="21"/>
          <w:szCs w:val="21"/>
        </w:rPr>
        <w:t>.</w:t>
      </w:r>
    </w:p>
    <w:p w:rsidR="00D03B78" w:rsidRPr="004D3416" w:rsidRDefault="00D03B78" w:rsidP="006D2EA9">
      <w:pPr>
        <w:pStyle w:val="Num-DocParagraph"/>
        <w:rPr>
          <w:sz w:val="21"/>
          <w:szCs w:val="21"/>
        </w:rPr>
      </w:pPr>
      <w:r w:rsidRPr="004D3416">
        <w:rPr>
          <w:sz w:val="21"/>
          <w:szCs w:val="21"/>
        </w:rPr>
        <w:fldChar w:fldCharType="begin"/>
      </w:r>
      <w:r w:rsidRPr="004D3416">
        <w:rPr>
          <w:sz w:val="21"/>
          <w:szCs w:val="21"/>
        </w:rPr>
        <w:instrText xml:space="preserve"> MACROBUTTON NUMBERING </w:instrText>
      </w:r>
      <w:r w:rsidRPr="004D3416">
        <w:rPr>
          <w:sz w:val="21"/>
          <w:szCs w:val="21"/>
        </w:rPr>
        <w:fldChar w:fldCharType="begin"/>
      </w:r>
      <w:r w:rsidRPr="004D3416">
        <w:rPr>
          <w:sz w:val="21"/>
          <w:szCs w:val="21"/>
        </w:rPr>
        <w:instrText xml:space="preserve"> SEQ  dpara</w:instrText>
      </w:r>
      <w:r w:rsidRPr="004D3416">
        <w:rPr>
          <w:sz w:val="21"/>
          <w:szCs w:val="21"/>
        </w:rPr>
        <w:fldChar w:fldCharType="separate"/>
      </w:r>
      <w:r w:rsidR="0042183E">
        <w:rPr>
          <w:noProof/>
          <w:sz w:val="21"/>
          <w:szCs w:val="21"/>
        </w:rPr>
        <w:instrText>8</w:instrText>
      </w:r>
      <w:r w:rsidRPr="004D3416">
        <w:rPr>
          <w:sz w:val="21"/>
          <w:szCs w:val="21"/>
        </w:rPr>
        <w:fldChar w:fldCharType="end"/>
      </w:r>
      <w:r w:rsidRPr="004D3416">
        <w:rPr>
          <w:sz w:val="21"/>
          <w:szCs w:val="21"/>
        </w:rPr>
        <w:instrText>.</w:instrText>
      </w:r>
      <w:r w:rsidRPr="004D3416">
        <w:rPr>
          <w:sz w:val="21"/>
          <w:szCs w:val="21"/>
        </w:rPr>
        <w:tab/>
      </w:r>
      <w:r w:rsidRPr="004D3416">
        <w:rPr>
          <w:sz w:val="21"/>
          <w:szCs w:val="21"/>
        </w:rPr>
        <w:fldChar w:fldCharType="end"/>
      </w:r>
      <w:r w:rsidRPr="004D3416">
        <w:rPr>
          <w:sz w:val="21"/>
          <w:szCs w:val="21"/>
        </w:rPr>
        <w:t xml:space="preserve">Finally, the database is used in further research on policy impacts. The data </w:t>
      </w:r>
      <w:r>
        <w:rPr>
          <w:sz w:val="21"/>
          <w:szCs w:val="21"/>
        </w:rPr>
        <w:t xml:space="preserve">can potentially </w:t>
      </w:r>
      <w:r w:rsidRPr="004D3416">
        <w:rPr>
          <w:sz w:val="21"/>
          <w:szCs w:val="21"/>
        </w:rPr>
        <w:t>serve as an</w:t>
      </w:r>
      <w:r w:rsidRPr="004D3416">
        <w:rPr>
          <w:b/>
          <w:i/>
          <w:sz w:val="21"/>
          <w:szCs w:val="21"/>
        </w:rPr>
        <w:t xml:space="preserve"> input into modelling</w:t>
      </w:r>
      <w:r w:rsidRPr="004D3416">
        <w:rPr>
          <w:sz w:val="21"/>
          <w:szCs w:val="21"/>
        </w:rPr>
        <w:t xml:space="preserve"> to assess the effectiveness and efficiency of policies in delivering the outcomes for which they were designed and to understand their effects on production, trade, income, the environment, etc. While the </w:t>
      </w:r>
      <w:r w:rsidR="00391132">
        <w:rPr>
          <w:sz w:val="21"/>
          <w:szCs w:val="21"/>
        </w:rPr>
        <w:t>data</w:t>
      </w:r>
      <w:r w:rsidRPr="004D3416">
        <w:rPr>
          <w:sz w:val="21"/>
          <w:szCs w:val="21"/>
        </w:rPr>
        <w:t xml:space="preserve"> cannot by themselves quantify these impacts, the economic information upon which they are based is an important building block for further analysis. </w:t>
      </w:r>
    </w:p>
    <w:bookmarkEnd w:id="74"/>
    <w:bookmarkEnd w:id="75"/>
    <w:bookmarkEnd w:id="76"/>
    <w:bookmarkEnd w:id="77"/>
    <w:bookmarkEnd w:id="78"/>
    <w:bookmarkEnd w:id="79"/>
    <w:bookmarkEnd w:id="80"/>
    <w:bookmarkEnd w:id="81"/>
    <w:p w:rsidR="00D03B78" w:rsidRPr="004D3416" w:rsidRDefault="00D03B78" w:rsidP="006D2EA9">
      <w:pPr>
        <w:pStyle w:val="Num-DocParagraph"/>
        <w:spacing w:before="240"/>
        <w:rPr>
          <w:sz w:val="21"/>
          <w:szCs w:val="21"/>
        </w:rPr>
      </w:pPr>
      <w:r w:rsidRPr="004D3416">
        <w:rPr>
          <w:sz w:val="21"/>
          <w:szCs w:val="21"/>
        </w:rPr>
        <w:fldChar w:fldCharType="begin"/>
      </w:r>
      <w:r w:rsidRPr="004D3416">
        <w:rPr>
          <w:sz w:val="21"/>
          <w:szCs w:val="21"/>
        </w:rPr>
        <w:instrText xml:space="preserve"> MACROBUTTON NUMBERING </w:instrText>
      </w:r>
      <w:r w:rsidRPr="004D3416">
        <w:rPr>
          <w:sz w:val="21"/>
          <w:szCs w:val="21"/>
        </w:rPr>
        <w:fldChar w:fldCharType="begin"/>
      </w:r>
      <w:r w:rsidRPr="004D3416">
        <w:rPr>
          <w:sz w:val="21"/>
          <w:szCs w:val="21"/>
        </w:rPr>
        <w:instrText xml:space="preserve"> SEQ  dpara</w:instrText>
      </w:r>
      <w:r w:rsidRPr="004D3416">
        <w:rPr>
          <w:sz w:val="21"/>
          <w:szCs w:val="21"/>
        </w:rPr>
        <w:fldChar w:fldCharType="separate"/>
      </w:r>
      <w:r w:rsidR="0042183E">
        <w:rPr>
          <w:noProof/>
          <w:sz w:val="21"/>
          <w:szCs w:val="21"/>
        </w:rPr>
        <w:instrText>9</w:instrText>
      </w:r>
      <w:r w:rsidRPr="004D3416">
        <w:rPr>
          <w:sz w:val="21"/>
          <w:szCs w:val="21"/>
        </w:rPr>
        <w:fldChar w:fldCharType="end"/>
      </w:r>
      <w:r w:rsidRPr="004D3416">
        <w:rPr>
          <w:sz w:val="21"/>
          <w:szCs w:val="21"/>
        </w:rPr>
        <w:instrText>.</w:instrText>
      </w:r>
      <w:r w:rsidRPr="004D3416">
        <w:rPr>
          <w:sz w:val="21"/>
          <w:szCs w:val="21"/>
        </w:rPr>
        <w:tab/>
      </w:r>
      <w:r w:rsidRPr="004D3416">
        <w:rPr>
          <w:sz w:val="21"/>
          <w:szCs w:val="21"/>
        </w:rPr>
        <w:fldChar w:fldCharType="end"/>
      </w:r>
      <w:r>
        <w:rPr>
          <w:sz w:val="21"/>
          <w:szCs w:val="21"/>
        </w:rPr>
        <w:t>Fisheries</w:t>
      </w:r>
      <w:r w:rsidRPr="004D3416">
        <w:rPr>
          <w:sz w:val="21"/>
          <w:szCs w:val="21"/>
        </w:rPr>
        <w:t xml:space="preserve"> policies may provide direct payments to </w:t>
      </w:r>
      <w:r>
        <w:rPr>
          <w:sz w:val="21"/>
          <w:szCs w:val="21"/>
        </w:rPr>
        <w:t>fishers, or they may support the sector in general through management, harbours and other infrastructure.</w:t>
      </w:r>
      <w:r w:rsidRPr="004D3416">
        <w:rPr>
          <w:sz w:val="21"/>
          <w:szCs w:val="21"/>
        </w:rPr>
        <w:t xml:space="preserve"> Support is not only comprised of budgetary payments, but also includes </w:t>
      </w:r>
      <w:r w:rsidR="002234C0">
        <w:rPr>
          <w:sz w:val="21"/>
          <w:szCs w:val="21"/>
        </w:rPr>
        <w:t>non-budgetary policies</w:t>
      </w:r>
      <w:r w:rsidRPr="004D3416">
        <w:rPr>
          <w:sz w:val="21"/>
          <w:szCs w:val="21"/>
        </w:rPr>
        <w:t xml:space="preserve">, such as </w:t>
      </w:r>
      <w:r w:rsidR="002234C0">
        <w:rPr>
          <w:sz w:val="21"/>
          <w:szCs w:val="21"/>
        </w:rPr>
        <w:t>tax measures</w:t>
      </w:r>
      <w:r w:rsidRPr="004D3416">
        <w:rPr>
          <w:sz w:val="21"/>
          <w:szCs w:val="21"/>
        </w:rPr>
        <w:t xml:space="preserve">. The common element to all these policies is that they generate </w:t>
      </w:r>
      <w:r>
        <w:rPr>
          <w:sz w:val="21"/>
          <w:szCs w:val="21"/>
        </w:rPr>
        <w:t>a transfer</w:t>
      </w:r>
      <w:r w:rsidRPr="004D3416">
        <w:rPr>
          <w:sz w:val="21"/>
          <w:szCs w:val="21"/>
        </w:rPr>
        <w:t xml:space="preserve">. </w:t>
      </w:r>
    </w:p>
    <w:p w:rsidR="00D03B78" w:rsidRPr="004D3416" w:rsidRDefault="00D03B78" w:rsidP="006D2EA9">
      <w:pPr>
        <w:pStyle w:val="Num-DocParagraph"/>
        <w:rPr>
          <w:sz w:val="21"/>
          <w:szCs w:val="21"/>
        </w:rPr>
      </w:pPr>
      <w:r w:rsidRPr="004D3416">
        <w:rPr>
          <w:sz w:val="21"/>
          <w:szCs w:val="21"/>
        </w:rPr>
        <w:fldChar w:fldCharType="begin"/>
      </w:r>
      <w:r w:rsidRPr="004D3416">
        <w:rPr>
          <w:sz w:val="21"/>
          <w:szCs w:val="21"/>
        </w:rPr>
        <w:instrText xml:space="preserve"> MACROBUTTON PARADOC </w:instrText>
      </w:r>
      <w:r w:rsidRPr="004D3416">
        <w:rPr>
          <w:sz w:val="21"/>
          <w:szCs w:val="21"/>
        </w:rPr>
        <w:fldChar w:fldCharType="end"/>
      </w:r>
      <w:r w:rsidRPr="004D3416">
        <w:rPr>
          <w:sz w:val="21"/>
          <w:szCs w:val="21"/>
        </w:rPr>
        <w:fldChar w:fldCharType="begin"/>
      </w:r>
      <w:r w:rsidRPr="004D3416">
        <w:rPr>
          <w:sz w:val="21"/>
          <w:szCs w:val="21"/>
        </w:rPr>
        <w:instrText xml:space="preserve"> MACROBUTTON NUMBERING </w:instrText>
      </w:r>
      <w:r w:rsidRPr="004D3416">
        <w:rPr>
          <w:sz w:val="21"/>
          <w:szCs w:val="21"/>
        </w:rPr>
        <w:fldChar w:fldCharType="begin"/>
      </w:r>
      <w:r w:rsidRPr="004D3416">
        <w:rPr>
          <w:sz w:val="21"/>
          <w:szCs w:val="21"/>
        </w:rPr>
        <w:instrText xml:space="preserve"> SEQ  dpara</w:instrText>
      </w:r>
      <w:r w:rsidRPr="004D3416">
        <w:rPr>
          <w:sz w:val="21"/>
          <w:szCs w:val="21"/>
        </w:rPr>
        <w:fldChar w:fldCharType="separate"/>
      </w:r>
      <w:r w:rsidR="0042183E">
        <w:rPr>
          <w:noProof/>
          <w:sz w:val="21"/>
          <w:szCs w:val="21"/>
        </w:rPr>
        <w:instrText>10</w:instrText>
      </w:r>
      <w:r w:rsidRPr="004D3416">
        <w:rPr>
          <w:sz w:val="21"/>
          <w:szCs w:val="21"/>
        </w:rPr>
        <w:fldChar w:fldCharType="end"/>
      </w:r>
      <w:r w:rsidRPr="004D3416">
        <w:rPr>
          <w:sz w:val="21"/>
          <w:szCs w:val="21"/>
        </w:rPr>
        <w:instrText>.</w:instrText>
      </w:r>
      <w:r w:rsidRPr="004D3416">
        <w:rPr>
          <w:sz w:val="21"/>
          <w:szCs w:val="21"/>
        </w:rPr>
        <w:tab/>
      </w:r>
      <w:r w:rsidRPr="004D3416">
        <w:rPr>
          <w:sz w:val="21"/>
          <w:szCs w:val="21"/>
        </w:rPr>
        <w:fldChar w:fldCharType="end"/>
      </w:r>
      <w:r w:rsidRPr="004D3416">
        <w:rPr>
          <w:sz w:val="21"/>
          <w:szCs w:val="21"/>
        </w:rPr>
        <w:t>The concept of “transfer” presumes both a source of the transfer and the existence of a recip</w:t>
      </w:r>
      <w:r>
        <w:rPr>
          <w:sz w:val="21"/>
          <w:szCs w:val="21"/>
        </w:rPr>
        <w:t>ient. In the present method</w:t>
      </w:r>
      <w:r w:rsidRPr="004D3416">
        <w:rPr>
          <w:sz w:val="21"/>
          <w:szCs w:val="21"/>
        </w:rPr>
        <w:t xml:space="preserve">, </w:t>
      </w:r>
      <w:r>
        <w:rPr>
          <w:sz w:val="21"/>
          <w:szCs w:val="21"/>
        </w:rPr>
        <w:t>fishers are the</w:t>
      </w:r>
      <w:r w:rsidRPr="004D3416">
        <w:rPr>
          <w:sz w:val="21"/>
          <w:szCs w:val="21"/>
        </w:rPr>
        <w:t xml:space="preserve"> </w:t>
      </w:r>
      <w:r>
        <w:rPr>
          <w:sz w:val="21"/>
          <w:szCs w:val="21"/>
        </w:rPr>
        <w:t xml:space="preserve">recipient of policy transfers </w:t>
      </w:r>
      <w:r w:rsidRPr="004D3416">
        <w:rPr>
          <w:sz w:val="21"/>
          <w:szCs w:val="21"/>
        </w:rPr>
        <w:t xml:space="preserve">and taxpayers </w:t>
      </w:r>
      <w:r>
        <w:rPr>
          <w:sz w:val="21"/>
          <w:szCs w:val="21"/>
        </w:rPr>
        <w:t>are the</w:t>
      </w:r>
      <w:r w:rsidRPr="004D3416">
        <w:rPr>
          <w:sz w:val="21"/>
          <w:szCs w:val="21"/>
        </w:rPr>
        <w:t xml:space="preserve"> source, i.e. the </w:t>
      </w:r>
      <w:r>
        <w:rPr>
          <w:sz w:val="21"/>
          <w:szCs w:val="21"/>
        </w:rPr>
        <w:t>group</w:t>
      </w:r>
      <w:r w:rsidRPr="004D3416">
        <w:rPr>
          <w:sz w:val="21"/>
          <w:szCs w:val="21"/>
        </w:rPr>
        <w:t xml:space="preserve"> bearing the cost of </w:t>
      </w:r>
      <w:r>
        <w:rPr>
          <w:sz w:val="21"/>
          <w:szCs w:val="21"/>
        </w:rPr>
        <w:t>fisheries</w:t>
      </w:r>
      <w:r w:rsidRPr="004D3416">
        <w:rPr>
          <w:sz w:val="21"/>
          <w:szCs w:val="21"/>
        </w:rPr>
        <w:t xml:space="preserve"> support. The term “</w:t>
      </w:r>
      <w:r>
        <w:rPr>
          <w:sz w:val="21"/>
          <w:szCs w:val="21"/>
        </w:rPr>
        <w:t>fisheries</w:t>
      </w:r>
      <w:r w:rsidRPr="004D3416">
        <w:rPr>
          <w:sz w:val="21"/>
          <w:szCs w:val="21"/>
        </w:rPr>
        <w:t xml:space="preserve">” designates </w:t>
      </w:r>
      <w:r>
        <w:rPr>
          <w:sz w:val="21"/>
          <w:szCs w:val="21"/>
        </w:rPr>
        <w:t>fishers</w:t>
      </w:r>
      <w:r w:rsidRPr="004D3416">
        <w:rPr>
          <w:sz w:val="21"/>
          <w:szCs w:val="21"/>
        </w:rPr>
        <w:t xml:space="preserve"> as an economic group. </w:t>
      </w:r>
      <w:r>
        <w:rPr>
          <w:sz w:val="21"/>
          <w:szCs w:val="21"/>
        </w:rPr>
        <w:t>Fishers</w:t>
      </w:r>
      <w:r w:rsidRPr="004D3416">
        <w:rPr>
          <w:sz w:val="21"/>
          <w:szCs w:val="21"/>
        </w:rPr>
        <w:t xml:space="preserve"> are viewed from two perspectives – as individual entrepreneurs, and </w:t>
      </w:r>
      <w:r w:rsidRPr="00F2592E">
        <w:rPr>
          <w:sz w:val="21"/>
          <w:szCs w:val="21"/>
        </w:rPr>
        <w:t>collectively (i.e. as a sector).</w:t>
      </w:r>
      <w:r w:rsidRPr="004D3416">
        <w:rPr>
          <w:sz w:val="21"/>
          <w:szCs w:val="21"/>
        </w:rPr>
        <w:t xml:space="preserve"> These distinctions underlie the key dimensions in which </w:t>
      </w:r>
      <w:r>
        <w:rPr>
          <w:sz w:val="21"/>
          <w:szCs w:val="21"/>
        </w:rPr>
        <w:t>fisheries</w:t>
      </w:r>
      <w:r w:rsidRPr="004D3416">
        <w:rPr>
          <w:sz w:val="21"/>
          <w:szCs w:val="21"/>
        </w:rPr>
        <w:t xml:space="preserve"> support is measured and the basic structure of the indicators.</w:t>
      </w:r>
    </w:p>
    <w:p w:rsidR="00D03B78" w:rsidRPr="004D3416" w:rsidRDefault="00D03B78" w:rsidP="006D2EA9">
      <w:pPr>
        <w:pStyle w:val="Num-DocParagraph"/>
        <w:rPr>
          <w:sz w:val="21"/>
          <w:szCs w:val="21"/>
        </w:rPr>
      </w:pPr>
      <w:r w:rsidRPr="004D3416">
        <w:rPr>
          <w:sz w:val="21"/>
          <w:szCs w:val="21"/>
        </w:rPr>
        <w:lastRenderedPageBreak/>
        <w:fldChar w:fldCharType="begin"/>
      </w:r>
      <w:r w:rsidRPr="004D3416">
        <w:rPr>
          <w:sz w:val="21"/>
          <w:szCs w:val="21"/>
        </w:rPr>
        <w:instrText xml:space="preserve"> MACROBUTTON NUMBERING </w:instrText>
      </w:r>
      <w:r w:rsidRPr="004D3416">
        <w:rPr>
          <w:sz w:val="21"/>
          <w:szCs w:val="21"/>
        </w:rPr>
        <w:fldChar w:fldCharType="begin"/>
      </w:r>
      <w:r w:rsidRPr="004D3416">
        <w:rPr>
          <w:sz w:val="21"/>
          <w:szCs w:val="21"/>
        </w:rPr>
        <w:instrText xml:space="preserve"> SEQ  dpara</w:instrText>
      </w:r>
      <w:r w:rsidRPr="004D3416">
        <w:rPr>
          <w:sz w:val="21"/>
          <w:szCs w:val="21"/>
        </w:rPr>
        <w:fldChar w:fldCharType="separate"/>
      </w:r>
      <w:r w:rsidR="0042183E">
        <w:rPr>
          <w:noProof/>
          <w:sz w:val="21"/>
          <w:szCs w:val="21"/>
        </w:rPr>
        <w:instrText>11</w:instrText>
      </w:r>
      <w:r w:rsidRPr="004D3416">
        <w:rPr>
          <w:sz w:val="21"/>
          <w:szCs w:val="21"/>
        </w:rPr>
        <w:fldChar w:fldCharType="end"/>
      </w:r>
      <w:r w:rsidRPr="004D3416">
        <w:rPr>
          <w:sz w:val="21"/>
          <w:szCs w:val="21"/>
        </w:rPr>
        <w:instrText>.</w:instrText>
      </w:r>
      <w:r w:rsidRPr="004D3416">
        <w:rPr>
          <w:sz w:val="21"/>
          <w:szCs w:val="21"/>
        </w:rPr>
        <w:tab/>
      </w:r>
      <w:r w:rsidRPr="004D3416">
        <w:rPr>
          <w:sz w:val="21"/>
          <w:szCs w:val="21"/>
        </w:rPr>
        <w:fldChar w:fldCharType="end"/>
      </w:r>
      <w:r w:rsidRPr="004D3416">
        <w:rPr>
          <w:sz w:val="21"/>
          <w:szCs w:val="21"/>
        </w:rPr>
        <w:t xml:space="preserve">The terms “support” and “policy transfers” are </w:t>
      </w:r>
      <w:r>
        <w:rPr>
          <w:sz w:val="21"/>
          <w:szCs w:val="21"/>
        </w:rPr>
        <w:t>basically the same</w:t>
      </w:r>
      <w:r w:rsidRPr="004D3416">
        <w:rPr>
          <w:sz w:val="21"/>
          <w:szCs w:val="21"/>
        </w:rPr>
        <w:t>, but may be used in different contexts. The term “support” is pre</w:t>
      </w:r>
      <w:r>
        <w:rPr>
          <w:sz w:val="21"/>
          <w:szCs w:val="21"/>
        </w:rPr>
        <w:t>dominantly used to mean a policy measure,</w:t>
      </w:r>
      <w:r w:rsidRPr="004D3416">
        <w:rPr>
          <w:sz w:val="21"/>
          <w:szCs w:val="21"/>
        </w:rPr>
        <w:t xml:space="preserve"> </w:t>
      </w:r>
      <w:r>
        <w:rPr>
          <w:sz w:val="21"/>
          <w:szCs w:val="21"/>
        </w:rPr>
        <w:t>whereas “transfer” emphasises the amount provided by the policy measure.</w:t>
      </w:r>
    </w:p>
    <w:p w:rsidR="00D03B78" w:rsidRPr="009D1F8E" w:rsidRDefault="00D03B78" w:rsidP="006D2EA9">
      <w:pPr>
        <w:pStyle w:val="Heading2"/>
        <w:rPr>
          <w:sz w:val="21"/>
          <w:szCs w:val="21"/>
        </w:rPr>
      </w:pPr>
      <w:bookmarkStart w:id="82" w:name="_Toc174936726"/>
      <w:bookmarkStart w:id="83" w:name="_Toc203897741"/>
      <w:bookmarkStart w:id="84" w:name="_Toc203898415"/>
      <w:bookmarkStart w:id="85" w:name="_Toc272931524"/>
      <w:bookmarkStart w:id="86" w:name="_Toc273007825"/>
      <w:bookmarkStart w:id="87" w:name="_Toc361730667"/>
      <w:bookmarkStart w:id="88" w:name="_Toc435460615"/>
      <w:bookmarkStart w:id="89" w:name="_Toc445973520"/>
      <w:bookmarkStart w:id="90" w:name="_Toc160608142"/>
      <w:bookmarkStart w:id="91" w:name="_Toc160608207"/>
      <w:bookmarkStart w:id="92" w:name="_Toc160608395"/>
      <w:bookmarkStart w:id="93" w:name="_Toc160608969"/>
      <w:bookmarkStart w:id="94" w:name="_Toc160609102"/>
      <w:bookmarkStart w:id="95" w:name="_Toc160609235"/>
      <w:bookmarkStart w:id="96" w:name="_Toc163533445"/>
      <w:r w:rsidRPr="009D1F8E">
        <w:rPr>
          <w:sz w:val="21"/>
          <w:szCs w:val="21"/>
        </w:rPr>
        <w:t>2.</w:t>
      </w:r>
      <w:r w:rsidR="00ED262E">
        <w:rPr>
          <w:sz w:val="21"/>
          <w:szCs w:val="21"/>
        </w:rPr>
        <w:t>2</w:t>
      </w:r>
      <w:r w:rsidRPr="009D1F8E">
        <w:rPr>
          <w:sz w:val="21"/>
          <w:szCs w:val="21"/>
        </w:rPr>
        <w:t>.</w:t>
      </w:r>
      <w:r w:rsidRPr="009D1F8E">
        <w:rPr>
          <w:sz w:val="21"/>
          <w:szCs w:val="21"/>
        </w:rPr>
        <w:tab/>
      </w:r>
      <w:bookmarkEnd w:id="82"/>
      <w:bookmarkEnd w:id="83"/>
      <w:bookmarkEnd w:id="84"/>
      <w:bookmarkEnd w:id="85"/>
      <w:bookmarkEnd w:id="86"/>
      <w:bookmarkEnd w:id="87"/>
      <w:r w:rsidR="00F67E94">
        <w:rPr>
          <w:sz w:val="21"/>
          <w:szCs w:val="21"/>
        </w:rPr>
        <w:t>Determining the scope of inclusion of policies and how to measure and classify them</w:t>
      </w:r>
      <w:bookmarkEnd w:id="88"/>
      <w:bookmarkEnd w:id="89"/>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7FFFF"/>
        <w:tblLook w:val="01E0" w:firstRow="1" w:lastRow="1" w:firstColumn="1" w:lastColumn="1" w:noHBand="0" w:noVBand="0"/>
      </w:tblPr>
      <w:tblGrid>
        <w:gridCol w:w="9498"/>
      </w:tblGrid>
      <w:tr w:rsidR="00D03B78" w:rsidRPr="001E1813" w:rsidTr="006D2EA9">
        <w:tc>
          <w:tcPr>
            <w:tcW w:w="9498" w:type="dxa"/>
            <w:shd w:val="clear" w:color="auto" w:fill="F7FFFF"/>
          </w:tcPr>
          <w:p w:rsidR="00D03B78" w:rsidRDefault="00D03B78" w:rsidP="006D2EA9">
            <w:pPr>
              <w:pStyle w:val="ListBullet"/>
              <w:numPr>
                <w:ilvl w:val="0"/>
                <w:numId w:val="19"/>
              </w:numPr>
              <w:spacing w:after="120"/>
              <w:rPr>
                <w:rFonts w:ascii="Arial" w:hAnsi="Arial" w:cs="Arial"/>
                <w:sz w:val="17"/>
                <w:szCs w:val="17"/>
              </w:rPr>
            </w:pPr>
            <w:r w:rsidRPr="004D3416">
              <w:rPr>
                <w:rFonts w:ascii="Arial" w:hAnsi="Arial" w:cs="Arial"/>
                <w:sz w:val="17"/>
                <w:szCs w:val="17"/>
              </w:rPr>
              <w:t xml:space="preserve">A policy measure is included if it generates transfers to </w:t>
            </w:r>
            <w:r w:rsidR="00870A8A">
              <w:rPr>
                <w:rFonts w:ascii="Arial" w:hAnsi="Arial" w:cs="Arial"/>
                <w:sz w:val="17"/>
                <w:szCs w:val="17"/>
              </w:rPr>
              <w:t>fishers, either individually or collectively</w:t>
            </w:r>
            <w:r w:rsidRPr="004D3416">
              <w:rPr>
                <w:rFonts w:ascii="Arial" w:hAnsi="Arial" w:cs="Arial"/>
                <w:sz w:val="17"/>
                <w:szCs w:val="17"/>
              </w:rPr>
              <w:t>, regardless of the nature, objectives or impacts of the policy measure</w:t>
            </w:r>
            <w:r>
              <w:rPr>
                <w:rFonts w:ascii="Arial" w:hAnsi="Arial" w:cs="Arial"/>
                <w:sz w:val="17"/>
                <w:szCs w:val="17"/>
              </w:rPr>
              <w:t>,</w:t>
            </w:r>
          </w:p>
          <w:p w:rsidR="00D03B78" w:rsidRPr="002D3C18" w:rsidRDefault="00D03B78" w:rsidP="00870A8A">
            <w:pPr>
              <w:pStyle w:val="ListBullet"/>
              <w:numPr>
                <w:ilvl w:val="0"/>
                <w:numId w:val="19"/>
              </w:numPr>
              <w:spacing w:after="120"/>
              <w:rPr>
                <w:rFonts w:ascii="Arial" w:hAnsi="Arial" w:cs="Arial"/>
                <w:sz w:val="17"/>
                <w:szCs w:val="17"/>
              </w:rPr>
            </w:pPr>
            <w:r w:rsidRPr="002D3C18">
              <w:rPr>
                <w:rFonts w:ascii="Arial" w:hAnsi="Arial" w:cs="Arial"/>
                <w:sz w:val="17"/>
                <w:szCs w:val="17"/>
              </w:rPr>
              <w:t>Transfers ar</w:t>
            </w:r>
            <w:r w:rsidR="00870A8A">
              <w:rPr>
                <w:rFonts w:ascii="Arial" w:hAnsi="Arial" w:cs="Arial"/>
                <w:sz w:val="17"/>
                <w:szCs w:val="17"/>
              </w:rPr>
              <w:t>e measured in gross terms and are classified according to implementation criteria and not objectives or responsible administrative unit</w:t>
            </w:r>
            <w:r w:rsidRPr="002D3C18">
              <w:rPr>
                <w:rFonts w:ascii="Arial" w:hAnsi="Arial" w:cs="Arial"/>
                <w:sz w:val="17"/>
                <w:szCs w:val="17"/>
              </w:rPr>
              <w:t>.</w:t>
            </w:r>
          </w:p>
        </w:tc>
      </w:tr>
    </w:tbl>
    <w:p w:rsidR="00D03B78" w:rsidRPr="004D3416" w:rsidRDefault="002234C0" w:rsidP="002234C0">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12</w:instrText>
      </w:r>
      <w:r>
        <w:fldChar w:fldCharType="end"/>
      </w:r>
      <w:r>
        <w:instrText>.</w:instrText>
      </w:r>
      <w:r>
        <w:tab/>
      </w:r>
      <w:r>
        <w:fldChar w:fldCharType="end"/>
      </w:r>
      <w:r w:rsidR="00D03B78" w:rsidRPr="004D3416">
        <w:t xml:space="preserve">A number of principles, or general rules, guide the measurement of </w:t>
      </w:r>
      <w:r w:rsidR="00D03B78">
        <w:t>fisheries</w:t>
      </w:r>
      <w:r w:rsidR="00D03B78" w:rsidRPr="004D3416">
        <w:t xml:space="preserve"> support. Principles 1 </w:t>
      </w:r>
      <w:r w:rsidR="007D6105">
        <w:t>and 2</w:t>
      </w:r>
      <w:r w:rsidR="00D03B78" w:rsidRPr="004D3416">
        <w:t xml:space="preserve"> determine the scope of policy measures to be considered in estimating </w:t>
      </w:r>
      <w:r w:rsidR="00D03B78">
        <w:t>fisheries</w:t>
      </w:r>
      <w:r w:rsidR="00D03B78" w:rsidRPr="004D3416">
        <w:t xml:space="preserve"> support and provide criteria for identifying </w:t>
      </w:r>
      <w:r w:rsidR="00D03B78">
        <w:t>fisheries</w:t>
      </w:r>
      <w:r w:rsidR="00D03B78" w:rsidRPr="004D3416">
        <w:t xml:space="preserve"> policies in a complex mix of government actions. Principles </w:t>
      </w:r>
      <w:r w:rsidR="007D6105">
        <w:t>3</w:t>
      </w:r>
      <w:r w:rsidR="00D03B78" w:rsidRPr="004D3416">
        <w:t xml:space="preserve"> </w:t>
      </w:r>
      <w:r w:rsidR="00F81646">
        <w:t>to</w:t>
      </w:r>
      <w:r w:rsidR="00D03B78" w:rsidRPr="004D3416">
        <w:t xml:space="preserve"> </w:t>
      </w:r>
      <w:r w:rsidR="007D6105">
        <w:t>5</w:t>
      </w:r>
      <w:r w:rsidR="00D03B78" w:rsidRPr="004D3416">
        <w:t xml:space="preserve"> help to define the method for measuring support and are important for interpreting the indicators.</w:t>
      </w:r>
    </w:p>
    <w:p w:rsidR="00D03B78" w:rsidRDefault="00D03B78" w:rsidP="007D6105">
      <w:pPr>
        <w:pStyle w:val="ListBullet"/>
        <w:rPr>
          <w:lang w:eastAsia="en-US"/>
        </w:rPr>
      </w:pPr>
      <w:r w:rsidRPr="002234C0">
        <w:rPr>
          <w:b/>
        </w:rPr>
        <w:t>Principle 1</w:t>
      </w:r>
      <w:r w:rsidRPr="002234C0">
        <w:t xml:space="preserve">: </w:t>
      </w:r>
      <w:r w:rsidRPr="00143C8B">
        <w:rPr>
          <w:b/>
        </w:rPr>
        <w:t>The generation of transfers to fishers is a key criterion for the inclusion of policy in the measurement of support</w:t>
      </w:r>
      <w:r w:rsidRPr="004D3416">
        <w:t xml:space="preserve">. </w:t>
      </w:r>
      <w:r w:rsidR="007D6105" w:rsidRPr="007D6105">
        <w:rPr>
          <w:lang w:eastAsia="en-US"/>
        </w:rPr>
        <w:t xml:space="preserve">A policy measure is considered for measurement if </w:t>
      </w:r>
      <w:r w:rsidR="007D6105">
        <w:rPr>
          <w:lang w:eastAsia="en-US"/>
        </w:rPr>
        <w:t>fishers</w:t>
      </w:r>
      <w:r w:rsidR="007D6105" w:rsidRPr="007D6105">
        <w:rPr>
          <w:lang w:eastAsia="en-US"/>
        </w:rPr>
        <w:t xml:space="preserve">, individually or collectively, are the only, or the principal, intended recipients of economic transfers generated by it. This is sufficient criterion for inclusion of a policy measure in the estimation of </w:t>
      </w:r>
      <w:r w:rsidR="007D6105">
        <w:rPr>
          <w:lang w:eastAsia="en-US"/>
        </w:rPr>
        <w:t>fisheries</w:t>
      </w:r>
      <w:r w:rsidR="007D6105" w:rsidRPr="007D6105">
        <w:rPr>
          <w:lang w:eastAsia="en-US"/>
        </w:rPr>
        <w:t xml:space="preserve"> support.</w:t>
      </w:r>
    </w:p>
    <w:p w:rsidR="00D03B78" w:rsidRDefault="00D03B78" w:rsidP="002234C0">
      <w:pPr>
        <w:pStyle w:val="ListBullet"/>
      </w:pPr>
      <w:r w:rsidRPr="002234C0">
        <w:rPr>
          <w:b/>
        </w:rPr>
        <w:t xml:space="preserve">Principle </w:t>
      </w:r>
      <w:r w:rsidR="007D6105">
        <w:rPr>
          <w:b/>
        </w:rPr>
        <w:t>2</w:t>
      </w:r>
      <w:r w:rsidRPr="004D3416">
        <w:t xml:space="preserve">: </w:t>
      </w:r>
      <w:r w:rsidRPr="00143C8B">
        <w:rPr>
          <w:b/>
        </w:rPr>
        <w:t xml:space="preserve">General policy measures available throughout the entire economy are not </w:t>
      </w:r>
      <w:r w:rsidR="00870A8A" w:rsidRPr="00143C8B">
        <w:rPr>
          <w:b/>
        </w:rPr>
        <w:t>included</w:t>
      </w:r>
      <w:r w:rsidRPr="00143C8B">
        <w:rPr>
          <w:b/>
        </w:rPr>
        <w:t xml:space="preserve"> in the estimation of fisheries support, even if such measures create policy transfers to or from the fisheries</w:t>
      </w:r>
      <w:r w:rsidRPr="004D3416">
        <w:t xml:space="preserve">. Thus, a situation of zero support to </w:t>
      </w:r>
      <w:r>
        <w:t>fisheries</w:t>
      </w:r>
      <w:r w:rsidRPr="004D3416">
        <w:t xml:space="preserve"> would occur when there are only general economy-wide policies in place</w:t>
      </w:r>
      <w:r>
        <w:t>,</w:t>
      </w:r>
      <w:r w:rsidRPr="004D3416">
        <w:t xml:space="preserve"> with no policies specifically altering the economic conditions for </w:t>
      </w:r>
      <w:r>
        <w:t>fisheries</w:t>
      </w:r>
      <w:r w:rsidRPr="004D3416">
        <w:t>.</w:t>
      </w:r>
      <w:r>
        <w:t xml:space="preserve"> </w:t>
      </w:r>
    </w:p>
    <w:p w:rsidR="00D03B78" w:rsidRPr="004D3416" w:rsidRDefault="00D03B78" w:rsidP="002234C0">
      <w:pPr>
        <w:pStyle w:val="ListBullet"/>
      </w:pPr>
      <w:r w:rsidRPr="002234C0">
        <w:rPr>
          <w:b/>
        </w:rPr>
        <w:t xml:space="preserve">Principle </w:t>
      </w:r>
      <w:r w:rsidR="007D6105">
        <w:rPr>
          <w:b/>
        </w:rPr>
        <w:t>3</w:t>
      </w:r>
      <w:r w:rsidRPr="002234C0">
        <w:t xml:space="preserve">: </w:t>
      </w:r>
      <w:r w:rsidRPr="00143C8B">
        <w:rPr>
          <w:b/>
        </w:rPr>
        <w:t>Transfers generated by fisheries policies are measured in gross terms</w:t>
      </w:r>
      <w:r w:rsidRPr="002234C0">
        <w:t>.</w:t>
      </w:r>
      <w:r w:rsidRPr="004D3416">
        <w:rPr>
          <w:i/>
        </w:rPr>
        <w:t xml:space="preserve"> </w:t>
      </w:r>
      <w:r w:rsidRPr="004D3416">
        <w:t xml:space="preserve">Policy transfers can be defined in gross or net terms, i.e. as revenue (gross receipts) or income (revenue less costs) generated by a policy measure. The phrase </w:t>
      </w:r>
      <w:r w:rsidRPr="004D3416">
        <w:rPr>
          <w:i/>
        </w:rPr>
        <w:t>gross transfers</w:t>
      </w:r>
      <w:r w:rsidRPr="004D3416">
        <w:t xml:space="preserve"> </w:t>
      </w:r>
      <w:r w:rsidR="006B45AC">
        <w:t>means</w:t>
      </w:r>
      <w:r w:rsidRPr="004D3416">
        <w:t xml:space="preserve"> that no adjustment is made for costs incurred by </w:t>
      </w:r>
      <w:r>
        <w:t>fishers</w:t>
      </w:r>
      <w:r w:rsidRPr="004D3416">
        <w:t xml:space="preserve"> in order to receive the support, e.g. costs to meet compliance conditions attached to certain payments, or tax clawbacks.</w:t>
      </w:r>
      <w:r>
        <w:t xml:space="preserve"> </w:t>
      </w:r>
    </w:p>
    <w:p w:rsidR="00D03B78" w:rsidRDefault="00D03B78" w:rsidP="002234C0">
      <w:pPr>
        <w:pStyle w:val="ListBullet"/>
      </w:pPr>
      <w:r w:rsidRPr="002234C0">
        <w:rPr>
          <w:b/>
        </w:rPr>
        <w:t xml:space="preserve">Principle </w:t>
      </w:r>
      <w:r w:rsidR="007D6105">
        <w:rPr>
          <w:b/>
        </w:rPr>
        <w:t>4</w:t>
      </w:r>
      <w:r>
        <w:t xml:space="preserve">: </w:t>
      </w:r>
      <w:r w:rsidRPr="00143C8B">
        <w:rPr>
          <w:b/>
        </w:rPr>
        <w:t>Policy measures supporting individual fishers are classified according to implementation criteria</w:t>
      </w:r>
      <w:r>
        <w:t>, such as</w:t>
      </w:r>
      <w:r w:rsidRPr="004D3416">
        <w:t xml:space="preserve"> the basis upon which support is provided (</w:t>
      </w:r>
      <w:r>
        <w:t>for example, the use of inputs or fixed capital)</w:t>
      </w:r>
      <w:r w:rsidRPr="004D3416">
        <w:t xml:space="preserve"> </w:t>
      </w:r>
      <w:r>
        <w:t xml:space="preserve">or </w:t>
      </w:r>
      <w:r w:rsidRPr="004D3416">
        <w:t xml:space="preserve">whether production is required to receive support or not. These policy characteristics </w:t>
      </w:r>
      <w:r>
        <w:t>are economically important determinants of fishers’</w:t>
      </w:r>
      <w:r w:rsidRPr="004D3416">
        <w:t xml:space="preserve"> behaviour, and distinguishing policies according to implementation criteria enables further analysis of policy impacts on, for example, </w:t>
      </w:r>
      <w:r>
        <w:t>harvest</w:t>
      </w:r>
      <w:r w:rsidRPr="004D3416">
        <w:t xml:space="preserve">, </w:t>
      </w:r>
      <w:r>
        <w:t>fleet capacity, income</w:t>
      </w:r>
      <w:r w:rsidRPr="004D3416">
        <w:t xml:space="preserve"> </w:t>
      </w:r>
      <w:r>
        <w:t xml:space="preserve">or </w:t>
      </w:r>
      <w:r w:rsidRPr="004D3416">
        <w:t xml:space="preserve">the environment. </w:t>
      </w:r>
    </w:p>
    <w:p w:rsidR="00F81646" w:rsidRPr="004D3416" w:rsidRDefault="00F81646" w:rsidP="002234C0">
      <w:pPr>
        <w:pStyle w:val="ListBullet"/>
      </w:pPr>
      <w:r w:rsidRPr="002234C0">
        <w:rPr>
          <w:b/>
        </w:rPr>
        <w:t xml:space="preserve">Principle </w:t>
      </w:r>
      <w:r w:rsidR="00B36AEE">
        <w:rPr>
          <w:b/>
        </w:rPr>
        <w:t>5</w:t>
      </w:r>
      <w:r w:rsidRPr="004D3416">
        <w:t xml:space="preserve">: </w:t>
      </w:r>
      <w:r w:rsidRPr="00143C8B">
        <w:rPr>
          <w:b/>
        </w:rPr>
        <w:t>There is no consideration of the nature, objectives or economic impacts of a policy measure</w:t>
      </w:r>
      <w:r w:rsidRPr="004D3416">
        <w:t xml:space="preserve"> beyond an “accounting” for transfers. </w:t>
      </w:r>
      <w:r w:rsidR="00143C8B">
        <w:t>T</w:t>
      </w:r>
      <w:r w:rsidRPr="004D3416">
        <w:t xml:space="preserve">he stated objectives, or perceived economic impacts of a policy measure, are not used as alternative or additional criteria to determine the inclusion or exclusion of a policy measure in the estimation of </w:t>
      </w:r>
      <w:r>
        <w:t>fisheries</w:t>
      </w:r>
      <w:r w:rsidRPr="004D3416">
        <w:t xml:space="preserve"> support. </w:t>
      </w:r>
    </w:p>
    <w:p w:rsidR="009C003F" w:rsidRDefault="009C003F" w:rsidP="009C003F">
      <w:pPr>
        <w:pStyle w:val="Num-DocParagraph"/>
        <w:rPr>
          <w:b/>
          <w:i/>
        </w:rPr>
      </w:pPr>
      <w:r>
        <w:fldChar w:fldCharType="begin"/>
      </w:r>
      <w:r>
        <w:instrText xml:space="preserve"> MACROBUTTON NUMBERING </w:instrText>
      </w:r>
      <w:r>
        <w:fldChar w:fldCharType="begin"/>
      </w:r>
      <w:r>
        <w:instrText xml:space="preserve"> SEQ  dpara</w:instrText>
      </w:r>
      <w:r>
        <w:fldChar w:fldCharType="separate"/>
      </w:r>
      <w:r w:rsidR="0042183E">
        <w:rPr>
          <w:noProof/>
        </w:rPr>
        <w:instrText>13</w:instrText>
      </w:r>
      <w:r>
        <w:fldChar w:fldCharType="end"/>
      </w:r>
      <w:r>
        <w:instrText>.</w:instrText>
      </w:r>
      <w:r>
        <w:tab/>
      </w:r>
      <w:r>
        <w:fldChar w:fldCharType="end"/>
      </w:r>
      <w:r w:rsidRPr="004D3416">
        <w:t xml:space="preserve">Generally speaking, the </w:t>
      </w:r>
      <w:r>
        <w:t>F</w:t>
      </w:r>
      <w:r w:rsidRPr="004D3416">
        <w:t xml:space="preserve">SE includes policy measures that give rise to transfers. The transfers may be explicit (a cheque) or implicit (as in a tax concession). In these </w:t>
      </w:r>
      <w:r>
        <w:t>transfers</w:t>
      </w:r>
      <w:r w:rsidRPr="004D3416">
        <w:t>, a recipient and a beneficiary can be clearly identified.</w:t>
      </w:r>
      <w:r>
        <w:t xml:space="preserve"> Other potential transfers that are influenced by government policy but for which the value is difficult to measure are not included in the FSE. For example:</w:t>
      </w:r>
    </w:p>
    <w:p w:rsidR="009C003F" w:rsidRDefault="009C003F" w:rsidP="009C003F">
      <w:pPr>
        <w:pStyle w:val="ListBullet"/>
      </w:pPr>
      <w:r w:rsidRPr="009C003F">
        <w:rPr>
          <w:b/>
        </w:rPr>
        <w:lastRenderedPageBreak/>
        <w:t>Rents from fisheries management</w:t>
      </w:r>
      <w:r>
        <w:t>. Rents generated from fisheries management policies (such as the value of quotas) can be very valuable and when they are tradable can generate revenue for fishers. But not all fisheries management systems yield rents that are easily measurable and so these transfers fail the consistency and comparability test in principle 2. However, collection of taxes or charges related to resource rents can be included as a cost-recovery item.</w:t>
      </w:r>
    </w:p>
    <w:p w:rsidR="009C003F" w:rsidRPr="004D3416" w:rsidRDefault="009C003F" w:rsidP="009C003F">
      <w:pPr>
        <w:pStyle w:val="ListBullet"/>
      </w:pPr>
      <w:r w:rsidRPr="009C003F">
        <w:rPr>
          <w:b/>
        </w:rPr>
        <w:t>Other transfers generated by regulations</w:t>
      </w:r>
      <w:r>
        <w:t xml:space="preserve">. </w:t>
      </w:r>
      <w:r w:rsidRPr="004D3416">
        <w:t xml:space="preserve">In light of the standard division of government measures into fiscal and regulatory, a question arises about the treatment of regulations in the </w:t>
      </w:r>
      <w:r>
        <w:t>F</w:t>
      </w:r>
      <w:r w:rsidRPr="004D3416">
        <w:t xml:space="preserve">SE. The </w:t>
      </w:r>
      <w:r>
        <w:t>F</w:t>
      </w:r>
      <w:r w:rsidRPr="004D3416">
        <w:t xml:space="preserve">SE does not capture </w:t>
      </w:r>
      <w:r>
        <w:t xml:space="preserve">indirect transfers generated by </w:t>
      </w:r>
      <w:r w:rsidRPr="004D3416">
        <w:t>regulations</w:t>
      </w:r>
      <w:r>
        <w:t xml:space="preserve">, </w:t>
      </w:r>
      <w:r w:rsidR="007D6105">
        <w:t>such as protection from competition from foreign fleets</w:t>
      </w:r>
      <w:r>
        <w:t xml:space="preserve">. However, some </w:t>
      </w:r>
      <w:r w:rsidRPr="004D3416">
        <w:t xml:space="preserve">transfers associated with </w:t>
      </w:r>
      <w:r>
        <w:t>regulations may be included, such as</w:t>
      </w:r>
      <w:r w:rsidRPr="004D3416">
        <w:t> government compensat</w:t>
      </w:r>
      <w:r>
        <w:t>ion</w:t>
      </w:r>
      <w:r w:rsidRPr="004D3416">
        <w:t xml:space="preserve"> </w:t>
      </w:r>
      <w:r>
        <w:t xml:space="preserve">for </w:t>
      </w:r>
      <w:r w:rsidR="007D6105">
        <w:t xml:space="preserve">costs incurred in </w:t>
      </w:r>
      <w:r w:rsidRPr="004D3416">
        <w:t>comply</w:t>
      </w:r>
      <w:r>
        <w:t>ing</w:t>
      </w:r>
      <w:r w:rsidRPr="004D3416">
        <w:t xml:space="preserve"> with regulations.</w:t>
      </w:r>
    </w:p>
    <w:p w:rsidR="009C003F" w:rsidRDefault="009C003F" w:rsidP="009C003F">
      <w:pPr>
        <w:pStyle w:val="ListBullet"/>
      </w:pPr>
      <w:r w:rsidRPr="009C003F">
        <w:rPr>
          <w:b/>
        </w:rPr>
        <w:t>Externalities and public goods generated by fisheries</w:t>
      </w:r>
      <w:r>
        <w:t>. Fisheries</w:t>
      </w:r>
      <w:r w:rsidRPr="004D3416">
        <w:t xml:space="preserve"> activities </w:t>
      </w:r>
      <w:r>
        <w:t>can</w:t>
      </w:r>
      <w:r w:rsidRPr="004D3416">
        <w:t xml:space="preserve"> contribute to the preservation of cu</w:t>
      </w:r>
      <w:r>
        <w:t>ltural landscapes, damage marine ecosystems or</w:t>
      </w:r>
      <w:r w:rsidRPr="004D3416">
        <w:t xml:space="preserve"> contribute to greenhouse gas emissions</w:t>
      </w:r>
      <w:r>
        <w:t>. Fisheries thus can provide</w:t>
      </w:r>
      <w:r w:rsidRPr="004D3416">
        <w:t xml:space="preserve"> public goods and generate positive or negative externalities. </w:t>
      </w:r>
      <w:r>
        <w:t>T</w:t>
      </w:r>
      <w:r w:rsidRPr="004D3416">
        <w:t>he value of these externalities</w:t>
      </w:r>
      <w:r>
        <w:t xml:space="preserve"> are not explicitly captured as a transfer to or from fishers, nor considered as part of fishers’ revenue. </w:t>
      </w:r>
    </w:p>
    <w:p w:rsidR="009C003F" w:rsidRDefault="009C003F" w:rsidP="009C003F">
      <w:pPr>
        <w:pStyle w:val="ListBullet"/>
      </w:pPr>
      <w:r w:rsidRPr="009C003F">
        <w:rPr>
          <w:b/>
        </w:rPr>
        <w:t>Social charges and benefits</w:t>
      </w:r>
      <w:r>
        <w:t>.</w:t>
      </w:r>
      <w:r w:rsidRPr="009C003F">
        <w:t xml:space="preserve"> In some countries, fishers receive special treatment under pension systems or other social programmes. Unless these transfers are specifically identifiable and budgeted, their value is not currently included in the FSE.</w:t>
      </w:r>
      <w:r w:rsidR="00C0208D">
        <w:t xml:space="preserve"> This has to do with practicality of measurement rather than a specific exclusion of this policy category, as many such polices meet the criteria for inclu</w:t>
      </w:r>
      <w:r w:rsidR="007D6105">
        <w:t>sion as set out in principles 1 and 2</w:t>
      </w:r>
      <w:r w:rsidR="00C0208D">
        <w:t>. They could be included in the future if a consistent and comparable method to do so were developed.</w:t>
      </w:r>
    </w:p>
    <w:p w:rsidR="009449D5" w:rsidRPr="009449D5" w:rsidRDefault="009449D5" w:rsidP="009C003F">
      <w:pPr>
        <w:pStyle w:val="ListBullet"/>
      </w:pPr>
      <w:r w:rsidRPr="009449D5">
        <w:rPr>
          <w:b/>
        </w:rPr>
        <w:t>Market-Price Support</w:t>
      </w:r>
      <w:r>
        <w:t xml:space="preserve">. Support that alters the price of fish either through direct control of prices, application of tariffs or market interventions is not currently included due to the high resource cost of doing so. Average tariffs for fish products are generally below 10% in OECD countries and market intervention purchases are used in only a few countries. This type of support </w:t>
      </w:r>
      <w:r w:rsidR="00ED262E">
        <w:t>is not currently emphasised in the FSE, though countries may report it if they chose</w:t>
      </w:r>
      <w:r>
        <w:t>.</w:t>
      </w:r>
    </w:p>
    <w:p w:rsidR="00D03B78" w:rsidRDefault="00D03B78">
      <w:pPr>
        <w:rPr>
          <w:sz w:val="21"/>
          <w:szCs w:val="21"/>
        </w:rPr>
      </w:pPr>
      <w:r>
        <w:rPr>
          <w:sz w:val="21"/>
          <w:szCs w:val="21"/>
        </w:rPr>
        <w:br w:type="page"/>
      </w:r>
    </w:p>
    <w:p w:rsidR="00D03B78" w:rsidRPr="001E1813" w:rsidRDefault="00D03B78" w:rsidP="006D2EA9">
      <w:pPr>
        <w:pStyle w:val="Heading1"/>
      </w:pPr>
      <w:bookmarkStart w:id="97" w:name="Chapter_3"/>
      <w:bookmarkStart w:id="98" w:name="_Toc272931526"/>
      <w:bookmarkStart w:id="99" w:name="_Toc273007827"/>
      <w:bookmarkStart w:id="100" w:name="_Toc361730668"/>
      <w:bookmarkStart w:id="101" w:name="_Toc435460616"/>
      <w:bookmarkStart w:id="102" w:name="_Toc445973521"/>
      <w:bookmarkEnd w:id="90"/>
      <w:bookmarkEnd w:id="91"/>
      <w:bookmarkEnd w:id="92"/>
      <w:bookmarkEnd w:id="93"/>
      <w:bookmarkEnd w:id="94"/>
      <w:bookmarkEnd w:id="95"/>
      <w:bookmarkEnd w:id="96"/>
      <w:r>
        <w:lastRenderedPageBreak/>
        <w:t>CHAPTER 3</w:t>
      </w:r>
      <w:r w:rsidRPr="001E1813">
        <w:t>.</w:t>
      </w:r>
      <w:bookmarkEnd w:id="97"/>
      <w:r w:rsidRPr="001E1813">
        <w:br/>
      </w:r>
      <w:r w:rsidRPr="001E1813">
        <w:br/>
        <w:t>classifying policies</w:t>
      </w:r>
      <w:bookmarkEnd w:id="98"/>
      <w:bookmarkEnd w:id="99"/>
      <w:bookmarkEnd w:id="100"/>
      <w:bookmarkEnd w:id="101"/>
      <w:bookmarkEnd w:id="102"/>
    </w:p>
    <w:p w:rsidR="00D03B78" w:rsidRPr="00744B9D" w:rsidRDefault="003A1E2E" w:rsidP="006D2EA9">
      <w:pPr>
        <w:pStyle w:val="Num-DocParagraph"/>
      </w:pPr>
      <w:r>
        <w:fldChar w:fldCharType="begin"/>
      </w:r>
      <w:r>
        <w:instrText xml:space="preserve"> MACROBUTTON PARADOC </w:instrText>
      </w:r>
      <w:r>
        <w:fldChar w:fldCharType="begin"/>
      </w:r>
      <w:r>
        <w:instrText xml:space="preserve"> SEQ dpara \h \r 16</w:instrText>
      </w:r>
      <w:r>
        <w:fldChar w:fldCharType="end"/>
      </w:r>
      <w:r>
        <w:fldChar w:fldCharType="end"/>
      </w:r>
      <w:r w:rsidR="00D03B78">
        <w:fldChar w:fldCharType="begin"/>
      </w:r>
      <w:r w:rsidR="00D03B78">
        <w:instrText xml:space="preserve"> MACROBUTTON NUMBERING </w:instrText>
      </w:r>
      <w:r w:rsidR="00D03B78">
        <w:fldChar w:fldCharType="begin"/>
      </w:r>
      <w:r w:rsidR="00D03B78">
        <w:instrText xml:space="preserve"> SEQ  dpara</w:instrText>
      </w:r>
      <w:r w:rsidR="00D03B78">
        <w:fldChar w:fldCharType="separate"/>
      </w:r>
      <w:r w:rsidR="0042183E">
        <w:rPr>
          <w:noProof/>
        </w:rPr>
        <w:instrText>17</w:instrText>
      </w:r>
      <w:r w:rsidR="00D03B78">
        <w:fldChar w:fldCharType="end"/>
      </w:r>
      <w:r w:rsidR="00D03B78">
        <w:instrText>.</w:instrText>
      </w:r>
      <w:r w:rsidR="00D03B78">
        <w:tab/>
      </w:r>
      <w:r w:rsidR="00D03B78">
        <w:fldChar w:fldCharType="end"/>
      </w:r>
      <w:r w:rsidR="00D03B78" w:rsidRPr="00744B9D">
        <w:t xml:space="preserve">Before calculating the indicators for any particular country, it is important to understand fully the </w:t>
      </w:r>
      <w:r w:rsidR="009E5F90">
        <w:t>classification system used to identify different types of policies, as distinctions between policy types forms the basis of many indictors</w:t>
      </w:r>
      <w:r w:rsidR="00D03B78" w:rsidRPr="00744B9D">
        <w:t>.</w:t>
      </w:r>
    </w:p>
    <w:p w:rsidR="00D03B78" w:rsidRPr="00744B9D" w:rsidRDefault="00D03B78"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18</w:instrText>
      </w:r>
      <w:r>
        <w:fldChar w:fldCharType="end"/>
      </w:r>
      <w:r>
        <w:instrText>.</w:instrText>
      </w:r>
      <w:r>
        <w:tab/>
      </w:r>
      <w:r>
        <w:fldChar w:fldCharType="end"/>
      </w:r>
      <w:r w:rsidRPr="00744B9D">
        <w:t>The following section</w:t>
      </w:r>
      <w:r w:rsidR="009E5F90">
        <w:t xml:space="preserve">s describe the classification system according to its main components: transfers to individuals, transfers to the sector generally, and cost recovery. </w:t>
      </w:r>
      <w:r w:rsidRPr="00744B9D">
        <w:t xml:space="preserve"> </w:t>
      </w:r>
      <w:r w:rsidR="009E5F90">
        <w:t>There is also a</w:t>
      </w:r>
      <w:r w:rsidRPr="00744B9D">
        <w:t xml:space="preserve"> section </w:t>
      </w:r>
      <w:r w:rsidR="009E5F90">
        <w:t xml:space="preserve">that </w:t>
      </w:r>
      <w:r w:rsidRPr="00744B9D">
        <w:t xml:space="preserve">details the various categories and labels attached to policy measures within the FSE, including definitions and worked examples. </w:t>
      </w:r>
    </w:p>
    <w:p w:rsidR="00D03B78" w:rsidRPr="003A1E2E" w:rsidRDefault="009E5F90" w:rsidP="006D2EA9">
      <w:pPr>
        <w:pStyle w:val="Heading2"/>
        <w:rPr>
          <w:sz w:val="21"/>
          <w:szCs w:val="21"/>
        </w:rPr>
      </w:pPr>
      <w:bookmarkStart w:id="103" w:name="_Toc166323084"/>
      <w:bookmarkStart w:id="104" w:name="_Toc174936732"/>
      <w:bookmarkStart w:id="105" w:name="Chapter_3_3"/>
      <w:bookmarkStart w:id="106" w:name="_Toc203897746"/>
      <w:bookmarkStart w:id="107" w:name="_Toc203898420"/>
      <w:bookmarkStart w:id="108" w:name="_Toc272931529"/>
      <w:bookmarkStart w:id="109" w:name="_Toc273007830"/>
      <w:bookmarkStart w:id="110" w:name="_Toc361730671"/>
      <w:bookmarkStart w:id="111" w:name="_Toc435460617"/>
      <w:bookmarkStart w:id="112" w:name="_Toc445973522"/>
      <w:bookmarkStart w:id="113" w:name="_Toc160608150"/>
      <w:bookmarkStart w:id="114" w:name="_Toc160608215"/>
      <w:bookmarkStart w:id="115" w:name="_Toc160608403"/>
      <w:bookmarkStart w:id="116" w:name="_Toc160608977"/>
      <w:bookmarkStart w:id="117" w:name="_Toc160609110"/>
      <w:bookmarkStart w:id="118" w:name="_Toc160609243"/>
      <w:bookmarkStart w:id="119" w:name="_Toc163533452"/>
      <w:bookmarkStart w:id="120" w:name="_Toc169343752"/>
      <w:r w:rsidRPr="003A1E2E">
        <w:rPr>
          <w:sz w:val="21"/>
          <w:szCs w:val="21"/>
        </w:rPr>
        <w:t>3.1</w:t>
      </w:r>
      <w:r w:rsidR="00D03B78" w:rsidRPr="003A1E2E">
        <w:rPr>
          <w:sz w:val="21"/>
          <w:szCs w:val="21"/>
        </w:rPr>
        <w:t>.</w:t>
      </w:r>
      <w:r w:rsidR="00D03B78" w:rsidRPr="003A1E2E">
        <w:rPr>
          <w:sz w:val="21"/>
          <w:szCs w:val="21"/>
        </w:rPr>
        <w:tab/>
        <w:t>Classifying and labelling policies that support fishers individually</w:t>
      </w:r>
      <w:bookmarkEnd w:id="103"/>
      <w:bookmarkEnd w:id="104"/>
      <w:bookmarkEnd w:id="105"/>
      <w:bookmarkEnd w:id="106"/>
      <w:bookmarkEnd w:id="107"/>
      <w:bookmarkEnd w:id="108"/>
      <w:bookmarkEnd w:id="109"/>
      <w:bookmarkEnd w:id="110"/>
      <w:r w:rsidR="00C0208D" w:rsidRPr="003A1E2E">
        <w:rPr>
          <w:sz w:val="21"/>
          <w:szCs w:val="21"/>
        </w:rPr>
        <w:t xml:space="preserve"> (ITF)</w:t>
      </w:r>
      <w:bookmarkEnd w:id="111"/>
      <w:bookmarkEnd w:id="112"/>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7FFFF"/>
        <w:tblCellMar>
          <w:bottom w:w="113" w:type="dxa"/>
        </w:tblCellMar>
        <w:tblLook w:val="01E0" w:firstRow="1" w:lastRow="1" w:firstColumn="1" w:lastColumn="1" w:noHBand="0" w:noVBand="0"/>
      </w:tblPr>
      <w:tblGrid>
        <w:gridCol w:w="9442"/>
      </w:tblGrid>
      <w:tr w:rsidR="00D03B78" w:rsidRPr="003A1E2E" w:rsidTr="006D2EA9">
        <w:tc>
          <w:tcPr>
            <w:tcW w:w="9442" w:type="dxa"/>
            <w:shd w:val="clear" w:color="auto" w:fill="F7FFFF"/>
          </w:tcPr>
          <w:p w:rsidR="00947D13" w:rsidRPr="003A1E2E" w:rsidRDefault="00947D13" w:rsidP="006D2EA9">
            <w:pPr>
              <w:pStyle w:val="ListBullet"/>
              <w:tabs>
                <w:tab w:val="clear" w:pos="850"/>
                <w:tab w:val="left" w:pos="440"/>
                <w:tab w:val="num" w:pos="975"/>
              </w:tabs>
              <w:spacing w:before="60" w:after="60"/>
              <w:ind w:left="442" w:hanging="442"/>
              <w:rPr>
                <w:rFonts w:ascii="Arial" w:hAnsi="Arial" w:cs="Arial"/>
                <w:sz w:val="17"/>
                <w:szCs w:val="17"/>
              </w:rPr>
            </w:pPr>
            <w:r w:rsidRPr="003A1E2E">
              <w:rPr>
                <w:rFonts w:ascii="Arial" w:hAnsi="Arial" w:cs="Arial"/>
                <w:sz w:val="17"/>
                <w:szCs w:val="17"/>
              </w:rPr>
              <w:t>Non-budgetary payments have a separate classification in the FSE.</w:t>
            </w:r>
          </w:p>
          <w:p w:rsidR="00D03B78" w:rsidRPr="003A1E2E" w:rsidRDefault="00D03B78" w:rsidP="006D2EA9">
            <w:pPr>
              <w:pStyle w:val="ListBullet"/>
              <w:tabs>
                <w:tab w:val="clear" w:pos="850"/>
                <w:tab w:val="left" w:pos="440"/>
                <w:tab w:val="num" w:pos="975"/>
              </w:tabs>
              <w:spacing w:before="60" w:after="60"/>
              <w:ind w:left="442" w:hanging="442"/>
              <w:rPr>
                <w:rFonts w:ascii="Arial" w:hAnsi="Arial" w:cs="Arial"/>
                <w:sz w:val="17"/>
                <w:szCs w:val="17"/>
              </w:rPr>
            </w:pPr>
            <w:r w:rsidRPr="003A1E2E">
              <w:rPr>
                <w:rFonts w:ascii="Arial" w:hAnsi="Arial" w:cs="Arial"/>
                <w:sz w:val="17"/>
                <w:szCs w:val="17"/>
              </w:rPr>
              <w:t>Policy measures included in the FSE are classified according to implementation criteria. These identify the econom</w:t>
            </w:r>
            <w:r w:rsidR="009E5F90" w:rsidRPr="003A1E2E">
              <w:rPr>
                <w:rFonts w:ascii="Arial" w:hAnsi="Arial" w:cs="Arial"/>
                <w:sz w:val="17"/>
                <w:szCs w:val="17"/>
              </w:rPr>
              <w:t xml:space="preserve">ic features of policy measures that are relevant for </w:t>
            </w:r>
            <w:r w:rsidRPr="003A1E2E">
              <w:rPr>
                <w:rFonts w:ascii="Arial" w:hAnsi="Arial" w:cs="Arial"/>
                <w:sz w:val="17"/>
                <w:szCs w:val="17"/>
              </w:rPr>
              <w:t>analysis of potential impacts of policies</w:t>
            </w:r>
            <w:r w:rsidR="009E5F90" w:rsidRPr="003A1E2E">
              <w:rPr>
                <w:rFonts w:ascii="Arial" w:hAnsi="Arial" w:cs="Arial"/>
                <w:sz w:val="17"/>
                <w:szCs w:val="17"/>
              </w:rPr>
              <w:t>, such as</w:t>
            </w:r>
            <w:r w:rsidRPr="003A1E2E">
              <w:rPr>
                <w:rFonts w:ascii="Arial" w:hAnsi="Arial" w:cs="Arial"/>
                <w:sz w:val="17"/>
                <w:szCs w:val="17"/>
              </w:rPr>
              <w:t xml:space="preserve"> on harvest, fleet capacity, income, </w:t>
            </w:r>
            <w:r w:rsidR="009E5F90" w:rsidRPr="003A1E2E">
              <w:rPr>
                <w:rFonts w:ascii="Arial" w:hAnsi="Arial" w:cs="Arial"/>
                <w:sz w:val="17"/>
                <w:szCs w:val="17"/>
              </w:rPr>
              <w:t>or</w:t>
            </w:r>
            <w:r w:rsidRPr="003A1E2E">
              <w:rPr>
                <w:rFonts w:ascii="Arial" w:hAnsi="Arial" w:cs="Arial"/>
                <w:sz w:val="17"/>
                <w:szCs w:val="17"/>
              </w:rPr>
              <w:t xml:space="preserve"> the environment.</w:t>
            </w:r>
          </w:p>
          <w:p w:rsidR="00D03B78" w:rsidRPr="003A1E2E" w:rsidRDefault="00D03B78" w:rsidP="006D2EA9">
            <w:pPr>
              <w:pStyle w:val="ListBullet"/>
              <w:tabs>
                <w:tab w:val="clear" w:pos="850"/>
                <w:tab w:val="left" w:pos="440"/>
                <w:tab w:val="num" w:pos="975"/>
              </w:tabs>
              <w:spacing w:before="60" w:after="60"/>
              <w:ind w:left="442" w:hanging="442"/>
              <w:rPr>
                <w:sz w:val="17"/>
                <w:szCs w:val="17"/>
              </w:rPr>
            </w:pPr>
            <w:r w:rsidRPr="003A1E2E">
              <w:rPr>
                <w:rFonts w:ascii="Arial" w:hAnsi="Arial" w:cs="Arial"/>
                <w:sz w:val="17"/>
                <w:szCs w:val="17"/>
              </w:rPr>
              <w:t xml:space="preserve">Policy measures in each category are further distinguished according to </w:t>
            </w:r>
            <w:r w:rsidR="009C003F" w:rsidRPr="003A1E2E">
              <w:rPr>
                <w:rFonts w:ascii="Arial" w:hAnsi="Arial" w:cs="Arial"/>
                <w:sz w:val="17"/>
                <w:szCs w:val="17"/>
              </w:rPr>
              <w:t xml:space="preserve">additional implementation details, such as </w:t>
            </w:r>
            <w:r w:rsidRPr="003A1E2E">
              <w:rPr>
                <w:rFonts w:ascii="Arial" w:hAnsi="Arial" w:cs="Arial"/>
                <w:sz w:val="17"/>
                <w:szCs w:val="17"/>
              </w:rPr>
              <w:t xml:space="preserve">whether constraints are placed on gear use or vessel type, </w:t>
            </w:r>
            <w:r w:rsidR="009C003F" w:rsidRPr="003A1E2E">
              <w:rPr>
                <w:rFonts w:ascii="Arial" w:hAnsi="Arial" w:cs="Arial"/>
                <w:sz w:val="17"/>
                <w:szCs w:val="17"/>
              </w:rPr>
              <w:t xml:space="preserve">or </w:t>
            </w:r>
            <w:r w:rsidRPr="003A1E2E">
              <w:rPr>
                <w:rFonts w:ascii="Arial" w:hAnsi="Arial" w:cs="Arial"/>
                <w:sz w:val="17"/>
                <w:szCs w:val="17"/>
              </w:rPr>
              <w:t>whether the pa</w:t>
            </w:r>
            <w:r w:rsidR="009C003F" w:rsidRPr="003A1E2E">
              <w:rPr>
                <w:rFonts w:ascii="Arial" w:hAnsi="Arial" w:cs="Arial"/>
                <w:sz w:val="17"/>
                <w:szCs w:val="17"/>
              </w:rPr>
              <w:t>yment rate is variable or fixed</w:t>
            </w:r>
            <w:r w:rsidRPr="003A1E2E">
              <w:rPr>
                <w:rFonts w:ascii="Arial" w:hAnsi="Arial" w:cs="Arial"/>
                <w:sz w:val="17"/>
                <w:szCs w:val="17"/>
              </w:rPr>
              <w:t>.</w:t>
            </w:r>
          </w:p>
          <w:p w:rsidR="00D03B78" w:rsidRPr="003A1E2E" w:rsidRDefault="00D03B78" w:rsidP="006D2EA9">
            <w:pPr>
              <w:pStyle w:val="ListBullet"/>
              <w:tabs>
                <w:tab w:val="clear" w:pos="850"/>
                <w:tab w:val="left" w:pos="440"/>
                <w:tab w:val="num" w:pos="975"/>
              </w:tabs>
              <w:spacing w:before="60" w:after="60"/>
              <w:ind w:left="442" w:hanging="442"/>
            </w:pPr>
            <w:r w:rsidRPr="003A1E2E">
              <w:rPr>
                <w:rFonts w:ascii="Arial" w:hAnsi="Arial" w:cs="Arial"/>
                <w:sz w:val="17"/>
                <w:szCs w:val="17"/>
              </w:rPr>
              <w:t>Policy measures may be classified by category, by label or by both, according to intended use.</w:t>
            </w:r>
          </w:p>
        </w:tc>
      </w:tr>
    </w:tbl>
    <w:p w:rsidR="00D03B78" w:rsidRPr="003A1E2E" w:rsidRDefault="00382633" w:rsidP="00C0208D">
      <w:pPr>
        <w:pStyle w:val="Num-DocParagraph"/>
        <w:spacing w:before="120"/>
        <w:rPr>
          <w:rFonts w:eastAsia="MS Mincho"/>
          <w:lang w:eastAsia="ja-JP"/>
        </w:rPr>
      </w:pPr>
      <w:r w:rsidRPr="003A1E2E">
        <w:rPr>
          <w:rFonts w:eastAsia="MS Mincho"/>
          <w:lang w:eastAsia="ja-JP"/>
        </w:rPr>
        <w:fldChar w:fldCharType="begin"/>
      </w:r>
      <w:r w:rsidRPr="003A1E2E">
        <w:rPr>
          <w:rFonts w:eastAsia="MS Mincho"/>
          <w:lang w:eastAsia="ja-JP"/>
        </w:rPr>
        <w:instrText xml:space="preserve"> MACROBUTTON NUMBERING </w:instrText>
      </w:r>
      <w:r w:rsidRPr="003A1E2E">
        <w:rPr>
          <w:rFonts w:eastAsia="MS Mincho"/>
          <w:lang w:eastAsia="ja-JP"/>
        </w:rPr>
        <w:fldChar w:fldCharType="begin"/>
      </w:r>
      <w:r w:rsidRPr="003A1E2E">
        <w:rPr>
          <w:rFonts w:eastAsia="MS Mincho"/>
          <w:lang w:eastAsia="ja-JP"/>
        </w:rPr>
        <w:instrText xml:space="preserve"> SEQ  dpara</w:instrText>
      </w:r>
      <w:r w:rsidRPr="003A1E2E">
        <w:rPr>
          <w:rFonts w:eastAsia="MS Mincho"/>
          <w:lang w:eastAsia="ja-JP"/>
        </w:rPr>
        <w:fldChar w:fldCharType="separate"/>
      </w:r>
      <w:r w:rsidR="0042183E">
        <w:rPr>
          <w:rFonts w:eastAsia="MS Mincho"/>
          <w:noProof/>
          <w:lang w:eastAsia="ja-JP"/>
        </w:rPr>
        <w:instrText>19</w:instrText>
      </w:r>
      <w:r w:rsidRPr="003A1E2E">
        <w:rPr>
          <w:rFonts w:eastAsia="MS Mincho"/>
          <w:lang w:eastAsia="ja-JP"/>
        </w:rPr>
        <w:fldChar w:fldCharType="end"/>
      </w:r>
      <w:r w:rsidRPr="003A1E2E">
        <w:rPr>
          <w:rFonts w:eastAsia="MS Mincho"/>
          <w:lang w:eastAsia="ja-JP"/>
        </w:rPr>
        <w:instrText>.</w:instrText>
      </w:r>
      <w:r w:rsidRPr="003A1E2E">
        <w:rPr>
          <w:rFonts w:eastAsia="MS Mincho"/>
          <w:lang w:eastAsia="ja-JP"/>
        </w:rPr>
        <w:tab/>
      </w:r>
      <w:r w:rsidRPr="003A1E2E">
        <w:rPr>
          <w:rFonts w:eastAsia="MS Mincho"/>
          <w:lang w:eastAsia="ja-JP"/>
        </w:rPr>
        <w:fldChar w:fldCharType="end"/>
      </w:r>
      <w:r w:rsidR="00D03B78" w:rsidRPr="003A1E2E">
        <w:rPr>
          <w:rFonts w:eastAsia="MS Mincho"/>
          <w:lang w:eastAsia="ja-JP"/>
        </w:rPr>
        <w:t xml:space="preserve">The impact of policy measures on variables such as harvest, fleet capacity, income, employment and the environment depend, among other factors, on the way policy measures are implemented. Therefore, to be helpful for policy analysis, policy measures in the FSE are classified according to implementation criteria. For a given policy measure, the </w:t>
      </w:r>
      <w:r w:rsidR="00D03B78" w:rsidRPr="003A1E2E">
        <w:rPr>
          <w:rFonts w:eastAsia="MS Mincho"/>
          <w:b/>
          <w:bCs/>
          <w:i/>
          <w:iCs/>
          <w:lang w:eastAsia="ja-JP"/>
        </w:rPr>
        <w:t xml:space="preserve">implementation criteria </w:t>
      </w:r>
      <w:r w:rsidR="00D03B78" w:rsidRPr="003A1E2E">
        <w:rPr>
          <w:rFonts w:eastAsia="MS Mincho"/>
          <w:lang w:eastAsia="ja-JP"/>
        </w:rPr>
        <w:t xml:space="preserve">are defined as </w:t>
      </w:r>
      <w:r w:rsidR="00D03B78" w:rsidRPr="003A1E2E">
        <w:rPr>
          <w:rFonts w:eastAsia="MS Mincho"/>
          <w:i/>
          <w:iCs/>
          <w:lang w:eastAsia="ja-JP"/>
        </w:rPr>
        <w:t>the conditions under which the associated transfers are provided to fishers, or the conditions of eligibility for the payment</w:t>
      </w:r>
      <w:r w:rsidR="00D03B78" w:rsidRPr="003A1E2E">
        <w:rPr>
          <w:rFonts w:eastAsia="MS Mincho"/>
          <w:lang w:eastAsia="ja-JP"/>
        </w:rPr>
        <w:t xml:space="preserve">. However, these conditions are often multiple, so labels provide extra information on policy information that complements the classification system. </w:t>
      </w:r>
    </w:p>
    <w:p w:rsidR="00382633" w:rsidRPr="00382633" w:rsidRDefault="00382633" w:rsidP="00C0208D">
      <w:pPr>
        <w:pStyle w:val="Num-DocParagraph"/>
        <w:spacing w:before="120"/>
        <w:rPr>
          <w:rFonts w:eastAsia="MS Mincho"/>
          <w:lang w:eastAsia="ja-JP"/>
        </w:rPr>
      </w:pPr>
      <w:r w:rsidRPr="003A1E2E">
        <w:rPr>
          <w:rFonts w:eastAsia="MS Mincho"/>
          <w:lang w:eastAsia="ja-JP"/>
        </w:rPr>
        <w:fldChar w:fldCharType="begin"/>
      </w:r>
      <w:r w:rsidRPr="003A1E2E">
        <w:rPr>
          <w:rFonts w:eastAsia="MS Mincho"/>
          <w:lang w:eastAsia="ja-JP"/>
        </w:rPr>
        <w:instrText xml:space="preserve"> MACROBUTTON NUMBERING </w:instrText>
      </w:r>
      <w:r w:rsidRPr="003A1E2E">
        <w:rPr>
          <w:rFonts w:eastAsia="MS Mincho"/>
          <w:lang w:eastAsia="ja-JP"/>
        </w:rPr>
        <w:fldChar w:fldCharType="begin"/>
      </w:r>
      <w:r w:rsidRPr="003A1E2E">
        <w:rPr>
          <w:rFonts w:eastAsia="MS Mincho"/>
          <w:lang w:eastAsia="ja-JP"/>
        </w:rPr>
        <w:instrText xml:space="preserve"> SEQ  dpara</w:instrText>
      </w:r>
      <w:r w:rsidRPr="003A1E2E">
        <w:rPr>
          <w:rFonts w:eastAsia="MS Mincho"/>
          <w:lang w:eastAsia="ja-JP"/>
        </w:rPr>
        <w:fldChar w:fldCharType="separate"/>
      </w:r>
      <w:r w:rsidR="0042183E">
        <w:rPr>
          <w:rFonts w:eastAsia="MS Mincho"/>
          <w:noProof/>
          <w:lang w:eastAsia="ja-JP"/>
        </w:rPr>
        <w:instrText>20</w:instrText>
      </w:r>
      <w:r w:rsidRPr="003A1E2E">
        <w:rPr>
          <w:rFonts w:eastAsia="MS Mincho"/>
          <w:lang w:eastAsia="ja-JP"/>
        </w:rPr>
        <w:fldChar w:fldCharType="end"/>
      </w:r>
      <w:r w:rsidRPr="003A1E2E">
        <w:rPr>
          <w:rFonts w:eastAsia="MS Mincho"/>
          <w:lang w:eastAsia="ja-JP"/>
        </w:rPr>
        <w:instrText>.</w:instrText>
      </w:r>
      <w:r w:rsidRPr="003A1E2E">
        <w:rPr>
          <w:rFonts w:eastAsia="MS Mincho"/>
          <w:lang w:eastAsia="ja-JP"/>
        </w:rPr>
        <w:tab/>
      </w:r>
      <w:r w:rsidRPr="003A1E2E">
        <w:rPr>
          <w:rFonts w:eastAsia="MS Mincho"/>
          <w:lang w:eastAsia="ja-JP"/>
        </w:rPr>
        <w:fldChar w:fldCharType="end"/>
      </w:r>
      <w:r w:rsidRPr="003A1E2E">
        <w:rPr>
          <w:rFonts w:eastAsia="MS Mincho"/>
          <w:lang w:eastAsia="ja-JP"/>
        </w:rPr>
        <w:t xml:space="preserve">An initial division of the classification is made between non-budgetary measures such as market price support or fuel tax concessions and budgetary support. This is to accommodate the </w:t>
      </w:r>
      <w:r w:rsidR="00A22DB4" w:rsidRPr="003A1E2E">
        <w:rPr>
          <w:rFonts w:eastAsia="MS Mincho"/>
          <w:lang w:eastAsia="ja-JP"/>
        </w:rPr>
        <w:t>decision to exclude the value of</w:t>
      </w:r>
      <w:r w:rsidRPr="003A1E2E">
        <w:rPr>
          <w:rFonts w:eastAsia="MS Mincho"/>
          <w:lang w:eastAsia="ja-JP"/>
        </w:rPr>
        <w:t xml:space="preserve"> fuel tax concessions </w:t>
      </w:r>
      <w:r w:rsidR="00A22DB4" w:rsidRPr="003A1E2E">
        <w:rPr>
          <w:rFonts w:eastAsia="MS Mincho"/>
          <w:lang w:eastAsia="ja-JP"/>
        </w:rPr>
        <w:t>from</w:t>
      </w:r>
      <w:r w:rsidRPr="003A1E2E">
        <w:rPr>
          <w:rFonts w:eastAsia="MS Mincho"/>
          <w:lang w:eastAsia="ja-JP"/>
        </w:rPr>
        <w:t xml:space="preserve"> any aggregate indicator. Separating these payments in the classification is the only practical way to accomplish this, even though it does not exactly follow the implementation criteria approach that is otherwise used.</w:t>
      </w:r>
    </w:p>
    <w:p w:rsidR="00C0208D" w:rsidRDefault="009449D5" w:rsidP="00C0208D">
      <w:pPr>
        <w:pStyle w:val="Num-DocParagraph"/>
        <w:spacing w:before="120"/>
        <w:rPr>
          <w:rFonts w:eastAsia="MS Mincho"/>
          <w:lang w:eastAsia="ja-JP"/>
        </w:rPr>
      </w:pPr>
      <w:r>
        <w:rPr>
          <w:rFonts w:eastAsia="MS Mincho"/>
          <w:lang w:eastAsia="ja-JP"/>
        </w:rPr>
        <w:fldChar w:fldCharType="begin"/>
      </w:r>
      <w:r>
        <w:rPr>
          <w:rFonts w:eastAsia="MS Mincho"/>
          <w:lang w:eastAsia="ja-JP"/>
        </w:rPr>
        <w:instrText xml:space="preserve"> MACROBUTTON NUMBERING </w:instrText>
      </w:r>
      <w:r>
        <w:rPr>
          <w:rFonts w:eastAsia="MS Mincho"/>
          <w:lang w:eastAsia="ja-JP"/>
        </w:rPr>
        <w:fldChar w:fldCharType="begin"/>
      </w:r>
      <w:r>
        <w:rPr>
          <w:rFonts w:eastAsia="MS Mincho"/>
          <w:lang w:eastAsia="ja-JP"/>
        </w:rPr>
        <w:instrText xml:space="preserve"> SEQ  dpara</w:instrText>
      </w:r>
      <w:r>
        <w:rPr>
          <w:rFonts w:eastAsia="MS Mincho"/>
          <w:lang w:eastAsia="ja-JP"/>
        </w:rPr>
        <w:fldChar w:fldCharType="separate"/>
      </w:r>
      <w:r w:rsidR="0042183E">
        <w:rPr>
          <w:rFonts w:eastAsia="MS Mincho"/>
          <w:noProof/>
          <w:lang w:eastAsia="ja-JP"/>
        </w:rPr>
        <w:instrText>21</w:instrText>
      </w:r>
      <w:r>
        <w:rPr>
          <w:rFonts w:eastAsia="MS Mincho"/>
          <w:lang w:eastAsia="ja-JP"/>
        </w:rPr>
        <w:fldChar w:fldCharType="end"/>
      </w:r>
      <w:r>
        <w:rPr>
          <w:rFonts w:eastAsia="MS Mincho"/>
          <w:lang w:eastAsia="ja-JP"/>
        </w:rPr>
        <w:instrText>.</w:instrText>
      </w:r>
      <w:r>
        <w:rPr>
          <w:rFonts w:eastAsia="MS Mincho"/>
          <w:lang w:eastAsia="ja-JP"/>
        </w:rPr>
        <w:tab/>
      </w:r>
      <w:r>
        <w:rPr>
          <w:rFonts w:eastAsia="MS Mincho"/>
          <w:lang w:eastAsia="ja-JP"/>
        </w:rPr>
        <w:fldChar w:fldCharType="end"/>
      </w:r>
      <w:r w:rsidR="00C0208D">
        <w:rPr>
          <w:rFonts w:eastAsia="MS Mincho"/>
          <w:lang w:eastAsia="ja-JP"/>
        </w:rPr>
        <w:t xml:space="preserve">The first major implementation </w:t>
      </w:r>
      <w:r>
        <w:rPr>
          <w:rFonts w:eastAsia="MS Mincho"/>
          <w:lang w:eastAsia="ja-JP"/>
        </w:rPr>
        <w:t>criterion is</w:t>
      </w:r>
      <w:r w:rsidR="00C0208D">
        <w:rPr>
          <w:rFonts w:eastAsia="MS Mincho"/>
          <w:lang w:eastAsia="ja-JP"/>
        </w:rPr>
        <w:t xml:space="preserve"> whether a transfer is directed at fishers individually, where a transfer can be traced to a specific individual, or collectively. Individual transfers are received by fishers in their capacity as fishers, or they become eligible for benefits under a programme by virtue of actions they take</w:t>
      </w:r>
      <w:r w:rsidR="00DA716E">
        <w:rPr>
          <w:rFonts w:eastAsia="MS Mincho"/>
          <w:lang w:eastAsia="ja-JP"/>
        </w:rPr>
        <w:t xml:space="preserve"> (Box 3.1)</w:t>
      </w:r>
      <w:r w:rsidR="00C0208D">
        <w:rPr>
          <w:rFonts w:eastAsia="MS Mincho"/>
          <w:lang w:eastAsia="ja-JP"/>
        </w:rPr>
        <w:t xml:space="preserve">. </w:t>
      </w:r>
      <w:r>
        <w:rPr>
          <w:rFonts w:eastAsia="MS Mincho"/>
          <w:lang w:eastAsia="ja-JP"/>
        </w:rPr>
        <w:t xml:space="preserve">Payments to fishers as fishers could be payments based on income such as disaster payments. Payments based on actions taken could come from the purchase of inputs such as fuel or gear, purchase or sale of capital such as vessels or equipment, or entering or leaving the fishery. </w:t>
      </w:r>
    </w:p>
    <w:p w:rsidR="00D03B78" w:rsidRPr="00A56584" w:rsidRDefault="009449D5" w:rsidP="00D67F94">
      <w:pPr>
        <w:pStyle w:val="Num-DocParagraph"/>
        <w:spacing w:before="120"/>
        <w:rPr>
          <w:sz w:val="4"/>
          <w:szCs w:val="4"/>
        </w:rPr>
      </w:pPr>
      <w:r>
        <w:rPr>
          <w:rFonts w:eastAsia="MS Mincho"/>
          <w:lang w:eastAsia="ja-JP"/>
        </w:rPr>
        <w:fldChar w:fldCharType="begin"/>
      </w:r>
      <w:r>
        <w:rPr>
          <w:rFonts w:eastAsia="MS Mincho"/>
          <w:lang w:eastAsia="ja-JP"/>
        </w:rPr>
        <w:instrText xml:space="preserve"> MACROBUTTON NUMBERING </w:instrText>
      </w:r>
      <w:r>
        <w:rPr>
          <w:rFonts w:eastAsia="MS Mincho"/>
          <w:lang w:eastAsia="ja-JP"/>
        </w:rPr>
        <w:fldChar w:fldCharType="begin"/>
      </w:r>
      <w:r>
        <w:rPr>
          <w:rFonts w:eastAsia="MS Mincho"/>
          <w:lang w:eastAsia="ja-JP"/>
        </w:rPr>
        <w:instrText xml:space="preserve"> SEQ  dpara</w:instrText>
      </w:r>
      <w:r>
        <w:rPr>
          <w:rFonts w:eastAsia="MS Mincho"/>
          <w:lang w:eastAsia="ja-JP"/>
        </w:rPr>
        <w:fldChar w:fldCharType="separate"/>
      </w:r>
      <w:r w:rsidR="0042183E">
        <w:rPr>
          <w:rFonts w:eastAsia="MS Mincho"/>
          <w:noProof/>
          <w:lang w:eastAsia="ja-JP"/>
        </w:rPr>
        <w:instrText>22</w:instrText>
      </w:r>
      <w:r>
        <w:rPr>
          <w:rFonts w:eastAsia="MS Mincho"/>
          <w:lang w:eastAsia="ja-JP"/>
        </w:rPr>
        <w:fldChar w:fldCharType="end"/>
      </w:r>
      <w:r>
        <w:rPr>
          <w:rFonts w:eastAsia="MS Mincho"/>
          <w:lang w:eastAsia="ja-JP"/>
        </w:rPr>
        <w:instrText>.</w:instrText>
      </w:r>
      <w:r>
        <w:rPr>
          <w:rFonts w:eastAsia="MS Mincho"/>
          <w:lang w:eastAsia="ja-JP"/>
        </w:rPr>
        <w:tab/>
      </w:r>
      <w:r>
        <w:rPr>
          <w:rFonts w:eastAsia="MS Mincho"/>
          <w:lang w:eastAsia="ja-JP"/>
        </w:rPr>
        <w:fldChar w:fldCharType="end"/>
      </w:r>
      <w:r>
        <w:rPr>
          <w:rFonts w:eastAsia="MS Mincho"/>
          <w:lang w:eastAsia="ja-JP"/>
        </w:rPr>
        <w:t xml:space="preserve">The main economic factors at play are whether the payment impacts the incentive to purchase or use variable inputs (which are relatively elastic in supply), fixed inputs (which are relatively inelastic), or are non-specific to inputs (generally revenue-enhancing). </w:t>
      </w:r>
      <w:r w:rsidR="00DA716E">
        <w:rPr>
          <w:rFonts w:eastAsia="MS Mincho"/>
          <w:lang w:eastAsia="ja-JP"/>
        </w:rPr>
        <w:t xml:space="preserve">Also important are whether policies provide incentives to reduce fishing activity, so payments based on reduction of capacity have separate category. For this last, policies are classified as based on reduction of productive capacity if </w:t>
      </w:r>
      <w:r w:rsidR="00BC5592">
        <w:rPr>
          <w:rFonts w:eastAsia="MS Mincho"/>
          <w:lang w:eastAsia="ja-JP"/>
        </w:rPr>
        <w:t xml:space="preserve">the conditions of the </w:t>
      </w:r>
      <w:r w:rsidR="00BC5592">
        <w:rPr>
          <w:rFonts w:eastAsia="MS Mincho"/>
          <w:lang w:eastAsia="ja-JP"/>
        </w:rPr>
        <w:lastRenderedPageBreak/>
        <w:t>transfer are such that the recipient must reduce their capacity to fish in some way--not due to the objective or impacts of the policy. Some of these policies could conceivably have the impact of increasing capacity if they are not well-designed.</w:t>
      </w:r>
    </w:p>
    <w:tbl>
      <w:tblPr>
        <w:tblW w:w="9213" w:type="dxa"/>
        <w:tblInd w:w="109" w:type="dxa"/>
        <w:tblBorders>
          <w:top w:val="single" w:sz="6" w:space="0" w:color="4F81BD"/>
          <w:left w:val="single" w:sz="6" w:space="0" w:color="4F81BD"/>
          <w:bottom w:val="single" w:sz="6" w:space="0" w:color="4F81BD"/>
          <w:right w:val="single" w:sz="6" w:space="0" w:color="4F81BD"/>
          <w:insideH w:val="single" w:sz="6" w:space="0" w:color="4F81BD"/>
          <w:insideV w:val="single" w:sz="6" w:space="0" w:color="4F81BD"/>
        </w:tblBorders>
        <w:shd w:val="clear" w:color="auto" w:fill="F7FFFF"/>
        <w:tblLayout w:type="fixed"/>
        <w:tblLook w:val="0000" w:firstRow="0" w:lastRow="0" w:firstColumn="0" w:lastColumn="0" w:noHBand="0" w:noVBand="0"/>
      </w:tblPr>
      <w:tblGrid>
        <w:gridCol w:w="9213"/>
      </w:tblGrid>
      <w:tr w:rsidR="00D03B78" w:rsidRPr="001E1813" w:rsidTr="006D2EA9">
        <w:tc>
          <w:tcPr>
            <w:tcW w:w="9213" w:type="dxa"/>
            <w:shd w:val="clear" w:color="auto" w:fill="F7FFFF"/>
          </w:tcPr>
          <w:p w:rsidR="00D03B78" w:rsidRPr="009D1F8E" w:rsidRDefault="00D03B78" w:rsidP="006D2EA9">
            <w:pPr>
              <w:pStyle w:val="TextBoxHeading"/>
              <w:pBdr>
                <w:top w:val="none" w:sz="0" w:space="0" w:color="auto"/>
                <w:left w:val="none" w:sz="0" w:space="0" w:color="auto"/>
                <w:bottom w:val="none" w:sz="0" w:space="0" w:color="auto"/>
                <w:right w:val="none" w:sz="0" w:space="0" w:color="auto"/>
              </w:pBdr>
              <w:shd w:val="clear" w:color="auto" w:fill="F7FFFF"/>
              <w:spacing w:before="120" w:after="120"/>
              <w:rPr>
                <w:sz w:val="17"/>
                <w:szCs w:val="17"/>
              </w:rPr>
            </w:pPr>
            <w:bookmarkStart w:id="121" w:name="_Toc203897869"/>
            <w:bookmarkStart w:id="122" w:name="_Toc203898328"/>
            <w:bookmarkStart w:id="123" w:name="_Toc272412004"/>
            <w:bookmarkStart w:id="124" w:name="_Toc273007939"/>
            <w:bookmarkStart w:id="125" w:name="_Toc273008076"/>
            <w:bookmarkStart w:id="126" w:name="_Toc432151240"/>
            <w:bookmarkStart w:id="127" w:name="_Toc445908266"/>
            <w:bookmarkStart w:id="128" w:name="Box_3_2"/>
            <w:r w:rsidRPr="009D1F8E">
              <w:rPr>
                <w:sz w:val="17"/>
                <w:szCs w:val="17"/>
              </w:rPr>
              <w:t>Box 3.</w:t>
            </w:r>
            <w:r w:rsidR="009E5F90">
              <w:rPr>
                <w:sz w:val="17"/>
                <w:szCs w:val="17"/>
              </w:rPr>
              <w:t>1</w:t>
            </w:r>
            <w:r w:rsidRPr="009D1F8E">
              <w:rPr>
                <w:sz w:val="17"/>
                <w:szCs w:val="17"/>
              </w:rPr>
              <w:t>. Names and definitions of the categories and sub-categories</w:t>
            </w:r>
            <w:bookmarkEnd w:id="121"/>
            <w:bookmarkEnd w:id="122"/>
            <w:bookmarkEnd w:id="123"/>
            <w:bookmarkEnd w:id="124"/>
            <w:bookmarkEnd w:id="125"/>
            <w:bookmarkEnd w:id="126"/>
            <w:r w:rsidR="006170FA">
              <w:rPr>
                <w:sz w:val="17"/>
                <w:szCs w:val="17"/>
              </w:rPr>
              <w:t xml:space="preserve"> in the FSE</w:t>
            </w:r>
            <w:bookmarkEnd w:id="127"/>
          </w:p>
          <w:bookmarkEnd w:id="128"/>
          <w:p w:rsidR="00382633" w:rsidRPr="003A1E2E" w:rsidRDefault="00382633" w:rsidP="006D2EA9">
            <w:pPr>
              <w:pStyle w:val="BoxBodyText"/>
              <w:spacing w:after="120"/>
              <w:rPr>
                <w:sz w:val="17"/>
                <w:szCs w:val="17"/>
                <w:lang w:val="en-GB"/>
              </w:rPr>
            </w:pPr>
            <w:r w:rsidRPr="003A1E2E">
              <w:rPr>
                <w:sz w:val="17"/>
                <w:szCs w:val="17"/>
                <w:lang w:val="en-GB"/>
              </w:rPr>
              <w:t xml:space="preserve">0. Non-Budgetary transfers to </w:t>
            </w:r>
            <w:r w:rsidR="00E661CC">
              <w:rPr>
                <w:sz w:val="17"/>
                <w:szCs w:val="17"/>
                <w:lang w:val="en-GB"/>
              </w:rPr>
              <w:t xml:space="preserve">individual </w:t>
            </w:r>
            <w:r w:rsidRPr="003A1E2E">
              <w:rPr>
                <w:sz w:val="17"/>
                <w:szCs w:val="17"/>
                <w:lang w:val="en-GB"/>
              </w:rPr>
              <w:t>fishers</w:t>
            </w:r>
          </w:p>
          <w:p w:rsidR="00382633" w:rsidRPr="003A1E2E" w:rsidRDefault="00382633" w:rsidP="00382633">
            <w:pPr>
              <w:pStyle w:val="BoxBodyText"/>
              <w:tabs>
                <w:tab w:val="clear" w:pos="850"/>
                <w:tab w:val="clear" w:pos="1191"/>
                <w:tab w:val="clear" w:pos="1531"/>
                <w:tab w:val="left" w:pos="1167"/>
              </w:tabs>
              <w:spacing w:after="120"/>
              <w:ind w:left="1167" w:hanging="425"/>
              <w:rPr>
                <w:sz w:val="17"/>
                <w:szCs w:val="17"/>
                <w:lang w:val="en-GB"/>
              </w:rPr>
            </w:pPr>
            <w:r w:rsidRPr="003A1E2E">
              <w:rPr>
                <w:sz w:val="17"/>
                <w:szCs w:val="17"/>
                <w:lang w:val="en-GB"/>
              </w:rPr>
              <w:t>0.A.  Market price support: transfers to fishers arising from policy measures that create a gap between domestic market prices and border prices of a specific fishery commodity (</w:t>
            </w:r>
            <w:r w:rsidRPr="003A1E2E">
              <w:rPr>
                <w:b/>
                <w:sz w:val="17"/>
                <w:szCs w:val="17"/>
                <w:lang w:val="en-GB"/>
              </w:rPr>
              <w:t>not currently included</w:t>
            </w:r>
            <w:r w:rsidRPr="003A1E2E">
              <w:rPr>
                <w:sz w:val="17"/>
                <w:szCs w:val="17"/>
                <w:lang w:val="en-GB"/>
              </w:rPr>
              <w:t>).</w:t>
            </w:r>
          </w:p>
          <w:p w:rsidR="00382633" w:rsidRPr="009A07D3" w:rsidRDefault="00382633" w:rsidP="00382633">
            <w:pPr>
              <w:pStyle w:val="BoxBodyText"/>
              <w:spacing w:after="120"/>
              <w:ind w:left="1309" w:hanging="567"/>
              <w:rPr>
                <w:sz w:val="17"/>
                <w:szCs w:val="17"/>
                <w:lang w:val="en-GB"/>
              </w:rPr>
            </w:pPr>
            <w:r w:rsidRPr="003A1E2E">
              <w:rPr>
                <w:sz w:val="17"/>
                <w:szCs w:val="17"/>
                <w:lang w:val="en-GB"/>
              </w:rPr>
              <w:t>0.B. Fuel tax concessions</w:t>
            </w:r>
          </w:p>
          <w:p w:rsidR="00D03B78" w:rsidRPr="00382633" w:rsidRDefault="00382633" w:rsidP="006D2EA9">
            <w:pPr>
              <w:pStyle w:val="BoxBodyText"/>
              <w:spacing w:after="120"/>
              <w:rPr>
                <w:sz w:val="17"/>
                <w:szCs w:val="17"/>
                <w:lang w:val="en-GB"/>
              </w:rPr>
            </w:pPr>
            <w:r>
              <w:rPr>
                <w:sz w:val="17"/>
                <w:szCs w:val="17"/>
                <w:lang w:val="en-GB"/>
              </w:rPr>
              <w:t>I</w:t>
            </w:r>
            <w:r w:rsidR="00D03B78" w:rsidRPr="00382633">
              <w:rPr>
                <w:sz w:val="17"/>
                <w:szCs w:val="17"/>
                <w:lang w:val="en-GB"/>
              </w:rPr>
              <w:t xml:space="preserve">. </w:t>
            </w:r>
            <w:r>
              <w:rPr>
                <w:sz w:val="17"/>
                <w:szCs w:val="17"/>
                <w:lang w:val="en-GB"/>
              </w:rPr>
              <w:t xml:space="preserve">Budgetary </w:t>
            </w:r>
            <w:r w:rsidR="00D03B78" w:rsidRPr="00382633">
              <w:rPr>
                <w:sz w:val="17"/>
                <w:szCs w:val="17"/>
                <w:lang w:val="en-GB"/>
              </w:rPr>
              <w:t>transfers to</w:t>
            </w:r>
            <w:r w:rsidR="00E661CC">
              <w:rPr>
                <w:sz w:val="17"/>
                <w:szCs w:val="17"/>
                <w:lang w:val="en-GB"/>
              </w:rPr>
              <w:t xml:space="preserve"> individual</w:t>
            </w:r>
            <w:r w:rsidR="00D03B78" w:rsidRPr="00382633">
              <w:rPr>
                <w:sz w:val="17"/>
                <w:szCs w:val="17"/>
                <w:lang w:val="en-GB"/>
              </w:rPr>
              <w:t xml:space="preserve"> fishers</w:t>
            </w:r>
          </w:p>
          <w:p w:rsidR="00D03B78" w:rsidRPr="009A07D3" w:rsidRDefault="00D03B78" w:rsidP="006D2EA9">
            <w:pPr>
              <w:pStyle w:val="BoxBodyText"/>
              <w:tabs>
                <w:tab w:val="clear" w:pos="850"/>
                <w:tab w:val="clear" w:pos="1191"/>
              </w:tabs>
              <w:spacing w:after="120"/>
              <w:ind w:left="1167" w:hanging="425"/>
              <w:rPr>
                <w:sz w:val="17"/>
                <w:szCs w:val="17"/>
                <w:lang w:val="en-GB"/>
              </w:rPr>
            </w:pPr>
            <w:r w:rsidRPr="009A07D3">
              <w:rPr>
                <w:sz w:val="17"/>
                <w:szCs w:val="17"/>
                <w:lang w:val="en-GB"/>
              </w:rPr>
              <w:t>I.</w:t>
            </w:r>
            <w:r w:rsidR="00382633">
              <w:rPr>
                <w:sz w:val="17"/>
                <w:szCs w:val="17"/>
                <w:lang w:val="en-GB"/>
              </w:rPr>
              <w:t>A</w:t>
            </w:r>
            <w:r w:rsidRPr="009A07D3">
              <w:rPr>
                <w:sz w:val="17"/>
                <w:szCs w:val="17"/>
                <w:lang w:val="en-GB"/>
              </w:rPr>
              <w:t xml:space="preserve">. </w:t>
            </w:r>
            <w:r>
              <w:rPr>
                <w:sz w:val="17"/>
                <w:szCs w:val="17"/>
                <w:lang w:val="en-GB"/>
              </w:rPr>
              <w:t xml:space="preserve">  </w:t>
            </w:r>
            <w:r w:rsidRPr="009A07D3">
              <w:rPr>
                <w:sz w:val="17"/>
                <w:szCs w:val="17"/>
                <w:lang w:val="en-GB"/>
              </w:rPr>
              <w:t xml:space="preserve">Transfers supporting fishing and vessel costs: transfers to </w:t>
            </w:r>
            <w:r>
              <w:rPr>
                <w:sz w:val="17"/>
                <w:szCs w:val="17"/>
                <w:lang w:val="en-GB"/>
              </w:rPr>
              <w:t>fishers</w:t>
            </w:r>
            <w:r w:rsidRPr="009A07D3">
              <w:rPr>
                <w:sz w:val="17"/>
                <w:szCs w:val="17"/>
                <w:lang w:val="en-GB"/>
              </w:rPr>
              <w:t xml:space="preserve"> based on the</w:t>
            </w:r>
            <w:r>
              <w:rPr>
                <w:sz w:val="17"/>
                <w:szCs w:val="17"/>
                <w:lang w:val="en-GB"/>
              </w:rPr>
              <w:t xml:space="preserve"> </w:t>
            </w:r>
            <w:r w:rsidRPr="009A07D3">
              <w:rPr>
                <w:sz w:val="17"/>
                <w:szCs w:val="17"/>
                <w:lang w:val="en-GB"/>
              </w:rPr>
              <w:t>use of fishing inputs or factors of production.</w:t>
            </w:r>
          </w:p>
          <w:p w:rsidR="00D03B78" w:rsidRPr="009A07D3" w:rsidRDefault="00D03B78" w:rsidP="006D2EA9">
            <w:pPr>
              <w:pStyle w:val="BoxBodyText"/>
              <w:spacing w:after="120"/>
              <w:ind w:left="442"/>
              <w:rPr>
                <w:sz w:val="17"/>
                <w:szCs w:val="17"/>
                <w:lang w:val="en-GB"/>
              </w:rPr>
            </w:pPr>
            <w:r w:rsidRPr="009A07D3">
              <w:rPr>
                <w:sz w:val="17"/>
                <w:szCs w:val="17"/>
                <w:lang w:val="en-GB"/>
              </w:rPr>
              <w:t>I.</w:t>
            </w:r>
            <w:r w:rsidR="00382633">
              <w:rPr>
                <w:sz w:val="17"/>
                <w:szCs w:val="17"/>
                <w:lang w:val="en-GB"/>
              </w:rPr>
              <w:t>A</w:t>
            </w:r>
            <w:r w:rsidRPr="009A07D3">
              <w:rPr>
                <w:sz w:val="17"/>
                <w:szCs w:val="17"/>
                <w:lang w:val="en-GB"/>
              </w:rPr>
              <w:t xml:space="preserve">.1. </w:t>
            </w:r>
            <w:r>
              <w:rPr>
                <w:sz w:val="17"/>
                <w:szCs w:val="17"/>
                <w:lang w:val="en-GB"/>
              </w:rPr>
              <w:t xml:space="preserve">   </w:t>
            </w:r>
            <w:r w:rsidRPr="009A07D3">
              <w:rPr>
                <w:sz w:val="17"/>
                <w:szCs w:val="17"/>
                <w:lang w:val="en-GB"/>
              </w:rPr>
              <w:t>Variable costs: transfers reducing the cost of a specific variable input or a mix</w:t>
            </w:r>
            <w:r>
              <w:rPr>
                <w:sz w:val="17"/>
                <w:szCs w:val="17"/>
                <w:lang w:val="en-GB"/>
              </w:rPr>
              <w:t xml:space="preserve"> </w:t>
            </w:r>
            <w:r w:rsidRPr="009A07D3">
              <w:rPr>
                <w:sz w:val="17"/>
                <w:szCs w:val="17"/>
                <w:lang w:val="en-GB"/>
              </w:rPr>
              <w:t>of variable inputs</w:t>
            </w:r>
            <w:r w:rsidR="003A1E2E">
              <w:rPr>
                <w:sz w:val="17"/>
                <w:szCs w:val="17"/>
                <w:lang w:val="en-GB"/>
              </w:rPr>
              <w:t xml:space="preserve"> (not including fuel tax concessions)</w:t>
            </w:r>
            <w:r w:rsidRPr="009A07D3">
              <w:rPr>
                <w:sz w:val="17"/>
                <w:szCs w:val="17"/>
                <w:lang w:val="en-GB"/>
              </w:rPr>
              <w:t>.</w:t>
            </w:r>
          </w:p>
          <w:p w:rsidR="00D03B78" w:rsidRPr="009A07D3" w:rsidRDefault="00D03B78" w:rsidP="006D2EA9">
            <w:pPr>
              <w:pStyle w:val="BoxBodyText"/>
              <w:tabs>
                <w:tab w:val="clear" w:pos="850"/>
              </w:tabs>
              <w:spacing w:after="120"/>
              <w:ind w:left="1451" w:hanging="567"/>
              <w:rPr>
                <w:sz w:val="17"/>
                <w:szCs w:val="17"/>
                <w:lang w:val="en-GB"/>
              </w:rPr>
            </w:pPr>
            <w:r w:rsidRPr="009A07D3">
              <w:rPr>
                <w:sz w:val="17"/>
                <w:szCs w:val="17"/>
                <w:lang w:val="en-GB"/>
              </w:rPr>
              <w:t>I.</w:t>
            </w:r>
            <w:r w:rsidR="00382633">
              <w:rPr>
                <w:sz w:val="17"/>
                <w:szCs w:val="17"/>
                <w:lang w:val="en-GB"/>
              </w:rPr>
              <w:t>A</w:t>
            </w:r>
            <w:r w:rsidRPr="009A07D3">
              <w:rPr>
                <w:sz w:val="17"/>
                <w:szCs w:val="17"/>
                <w:lang w:val="en-GB"/>
              </w:rPr>
              <w:t xml:space="preserve">.2. </w:t>
            </w:r>
            <w:r>
              <w:rPr>
                <w:sz w:val="17"/>
                <w:szCs w:val="17"/>
                <w:lang w:val="en-GB"/>
              </w:rPr>
              <w:t xml:space="preserve">  </w:t>
            </w:r>
            <w:r w:rsidRPr="009A07D3">
              <w:rPr>
                <w:sz w:val="17"/>
                <w:szCs w:val="17"/>
                <w:lang w:val="en-GB"/>
              </w:rPr>
              <w:t>Fixed costs: transfers reducing investment cost</w:t>
            </w:r>
            <w:r>
              <w:rPr>
                <w:sz w:val="17"/>
                <w:szCs w:val="17"/>
                <w:lang w:val="en-GB"/>
              </w:rPr>
              <w:t>s to purchase or modernise fish</w:t>
            </w:r>
            <w:r w:rsidRPr="009A07D3">
              <w:rPr>
                <w:sz w:val="17"/>
                <w:szCs w:val="17"/>
                <w:lang w:val="en-GB"/>
              </w:rPr>
              <w:t>ing vessels, gear, or any other capital asset.</w:t>
            </w:r>
          </w:p>
          <w:p w:rsidR="00D03B78" w:rsidRPr="009A07D3" w:rsidRDefault="00D03B78" w:rsidP="006D2EA9">
            <w:pPr>
              <w:pStyle w:val="BoxBodyText"/>
              <w:spacing w:after="120"/>
              <w:ind w:left="680"/>
              <w:rPr>
                <w:sz w:val="17"/>
                <w:szCs w:val="17"/>
                <w:lang w:val="en-GB"/>
              </w:rPr>
            </w:pPr>
            <w:r w:rsidRPr="009A07D3">
              <w:rPr>
                <w:sz w:val="17"/>
                <w:szCs w:val="17"/>
                <w:lang w:val="en-GB"/>
              </w:rPr>
              <w:t>I.</w:t>
            </w:r>
            <w:r w:rsidR="00382633">
              <w:rPr>
                <w:sz w:val="17"/>
                <w:szCs w:val="17"/>
                <w:lang w:val="en-GB"/>
              </w:rPr>
              <w:t>A</w:t>
            </w:r>
            <w:r w:rsidRPr="009A07D3">
              <w:rPr>
                <w:sz w:val="17"/>
                <w:szCs w:val="17"/>
                <w:lang w:val="en-GB"/>
              </w:rPr>
              <w:t>.2.1. Transfers supporting vessel construction</w:t>
            </w:r>
            <w:r>
              <w:rPr>
                <w:sz w:val="17"/>
                <w:szCs w:val="17"/>
                <w:lang w:val="en-GB"/>
              </w:rPr>
              <w:t xml:space="preserve"> or </w:t>
            </w:r>
            <w:r w:rsidRPr="009A07D3">
              <w:rPr>
                <w:sz w:val="17"/>
                <w:szCs w:val="17"/>
                <w:lang w:val="en-GB"/>
              </w:rPr>
              <w:t>purchase</w:t>
            </w:r>
          </w:p>
          <w:p w:rsidR="00D03B78" w:rsidRPr="009A07D3" w:rsidRDefault="00D03B78" w:rsidP="006D2EA9">
            <w:pPr>
              <w:pStyle w:val="BoxBodyText"/>
              <w:spacing w:after="120"/>
              <w:ind w:left="680"/>
              <w:rPr>
                <w:sz w:val="17"/>
                <w:szCs w:val="17"/>
                <w:lang w:val="en-GB"/>
              </w:rPr>
            </w:pPr>
            <w:r w:rsidRPr="009A07D3">
              <w:rPr>
                <w:sz w:val="17"/>
                <w:szCs w:val="17"/>
                <w:lang w:val="en-GB"/>
              </w:rPr>
              <w:t>I.</w:t>
            </w:r>
            <w:r w:rsidR="00382633">
              <w:rPr>
                <w:sz w:val="17"/>
                <w:szCs w:val="17"/>
                <w:lang w:val="en-GB"/>
              </w:rPr>
              <w:t>A</w:t>
            </w:r>
            <w:r w:rsidRPr="009A07D3">
              <w:rPr>
                <w:sz w:val="17"/>
                <w:szCs w:val="17"/>
                <w:lang w:val="en-GB"/>
              </w:rPr>
              <w:t>.2.2. Transfers for modernisation</w:t>
            </w:r>
          </w:p>
          <w:p w:rsidR="00D03B78" w:rsidRPr="009A07D3" w:rsidRDefault="00D03B78" w:rsidP="006D2EA9">
            <w:pPr>
              <w:pStyle w:val="BoxBodyText"/>
              <w:spacing w:after="120"/>
              <w:ind w:left="680"/>
              <w:rPr>
                <w:sz w:val="17"/>
                <w:szCs w:val="17"/>
                <w:lang w:val="en-GB"/>
              </w:rPr>
            </w:pPr>
            <w:r w:rsidRPr="009A07D3">
              <w:rPr>
                <w:sz w:val="17"/>
                <w:szCs w:val="17"/>
                <w:lang w:val="en-GB"/>
              </w:rPr>
              <w:t>I.</w:t>
            </w:r>
            <w:r w:rsidR="00382633">
              <w:rPr>
                <w:sz w:val="17"/>
                <w:szCs w:val="17"/>
                <w:lang w:val="en-GB"/>
              </w:rPr>
              <w:t>A</w:t>
            </w:r>
            <w:r w:rsidRPr="009A07D3">
              <w:rPr>
                <w:sz w:val="17"/>
                <w:szCs w:val="17"/>
                <w:lang w:val="en-GB"/>
              </w:rPr>
              <w:t>.2.3. Other transfers</w:t>
            </w:r>
          </w:p>
          <w:p w:rsidR="00D03B78" w:rsidRPr="009A07D3" w:rsidRDefault="00D03B78" w:rsidP="006D2EA9">
            <w:pPr>
              <w:pStyle w:val="BoxBodyText"/>
              <w:tabs>
                <w:tab w:val="clear" w:pos="850"/>
                <w:tab w:val="clear" w:pos="1531"/>
              </w:tabs>
              <w:spacing w:after="120"/>
              <w:ind w:left="1167" w:hanging="425"/>
              <w:rPr>
                <w:sz w:val="17"/>
                <w:szCs w:val="17"/>
                <w:lang w:val="en-GB"/>
              </w:rPr>
            </w:pPr>
            <w:r w:rsidRPr="009A07D3">
              <w:rPr>
                <w:sz w:val="17"/>
                <w:szCs w:val="17"/>
                <w:lang w:val="en-GB"/>
              </w:rPr>
              <w:t>I.</w:t>
            </w:r>
            <w:r w:rsidR="00382633">
              <w:rPr>
                <w:sz w:val="17"/>
                <w:szCs w:val="17"/>
                <w:lang w:val="en-GB"/>
              </w:rPr>
              <w:t>B</w:t>
            </w:r>
            <w:r w:rsidRPr="009A07D3">
              <w:rPr>
                <w:sz w:val="17"/>
                <w:szCs w:val="17"/>
                <w:lang w:val="en-GB"/>
              </w:rPr>
              <w:t>. Transfers based on fisher's income: transfers to fishers based on their income or</w:t>
            </w:r>
            <w:r>
              <w:rPr>
                <w:sz w:val="17"/>
                <w:szCs w:val="17"/>
                <w:lang w:val="en-GB"/>
              </w:rPr>
              <w:t xml:space="preserve"> </w:t>
            </w:r>
            <w:r w:rsidRPr="009A07D3">
              <w:rPr>
                <w:sz w:val="17"/>
                <w:szCs w:val="17"/>
                <w:lang w:val="en-GB"/>
              </w:rPr>
              <w:t>revenue.</w:t>
            </w:r>
          </w:p>
          <w:p w:rsidR="00D03B78" w:rsidRPr="009A07D3" w:rsidRDefault="00D03B78" w:rsidP="006D2EA9">
            <w:pPr>
              <w:pStyle w:val="BoxBodyText"/>
              <w:tabs>
                <w:tab w:val="clear" w:pos="850"/>
              </w:tabs>
              <w:spacing w:after="120"/>
              <w:ind w:left="1451" w:hanging="567"/>
              <w:rPr>
                <w:sz w:val="17"/>
                <w:szCs w:val="17"/>
                <w:lang w:val="en-GB"/>
              </w:rPr>
            </w:pPr>
            <w:r w:rsidRPr="009A07D3">
              <w:rPr>
                <w:sz w:val="17"/>
                <w:szCs w:val="17"/>
                <w:lang w:val="en-GB"/>
              </w:rPr>
              <w:t>I.</w:t>
            </w:r>
            <w:r w:rsidR="00382633">
              <w:rPr>
                <w:sz w:val="17"/>
                <w:szCs w:val="17"/>
                <w:lang w:val="en-GB"/>
              </w:rPr>
              <w:t>B</w:t>
            </w:r>
            <w:r w:rsidRPr="009A07D3">
              <w:rPr>
                <w:sz w:val="17"/>
                <w:szCs w:val="17"/>
                <w:lang w:val="en-GB"/>
              </w:rPr>
              <w:t xml:space="preserve">.1. </w:t>
            </w:r>
            <w:r>
              <w:rPr>
                <w:sz w:val="17"/>
                <w:szCs w:val="17"/>
                <w:lang w:val="en-GB"/>
              </w:rPr>
              <w:t xml:space="preserve"> </w:t>
            </w:r>
            <w:r w:rsidRPr="009A07D3">
              <w:rPr>
                <w:sz w:val="17"/>
                <w:szCs w:val="17"/>
                <w:lang w:val="en-GB"/>
              </w:rPr>
              <w:t>Income support: transfers based on income o</w:t>
            </w:r>
            <w:r>
              <w:rPr>
                <w:sz w:val="17"/>
                <w:szCs w:val="17"/>
                <w:lang w:val="en-GB"/>
              </w:rPr>
              <w:t>r revenue, including direct pay</w:t>
            </w:r>
            <w:r w:rsidRPr="009A07D3">
              <w:rPr>
                <w:sz w:val="17"/>
                <w:szCs w:val="17"/>
                <w:lang w:val="en-GB"/>
              </w:rPr>
              <w:t>ments to vessel owners or crew.</w:t>
            </w:r>
          </w:p>
          <w:p w:rsidR="00D03B78" w:rsidRPr="009A07D3" w:rsidRDefault="00D03B78" w:rsidP="006D2EA9">
            <w:pPr>
              <w:pStyle w:val="BoxBodyText"/>
              <w:tabs>
                <w:tab w:val="clear" w:pos="850"/>
              </w:tabs>
              <w:spacing w:after="120"/>
              <w:ind w:left="1451" w:hanging="567"/>
              <w:rPr>
                <w:sz w:val="17"/>
                <w:szCs w:val="17"/>
                <w:lang w:val="en-GB"/>
              </w:rPr>
            </w:pPr>
            <w:r w:rsidRPr="009A07D3">
              <w:rPr>
                <w:sz w:val="17"/>
                <w:szCs w:val="17"/>
                <w:lang w:val="en-GB"/>
              </w:rPr>
              <w:t>I.</w:t>
            </w:r>
            <w:r w:rsidR="00382633">
              <w:rPr>
                <w:sz w:val="17"/>
                <w:szCs w:val="17"/>
                <w:lang w:val="en-GB"/>
              </w:rPr>
              <w:t>B</w:t>
            </w:r>
            <w:r w:rsidRPr="009A07D3">
              <w:rPr>
                <w:sz w:val="17"/>
                <w:szCs w:val="17"/>
                <w:lang w:val="en-GB"/>
              </w:rPr>
              <w:t xml:space="preserve">.2. </w:t>
            </w:r>
            <w:r>
              <w:rPr>
                <w:sz w:val="17"/>
                <w:szCs w:val="17"/>
                <w:lang w:val="en-GB"/>
              </w:rPr>
              <w:t xml:space="preserve"> </w:t>
            </w:r>
            <w:r w:rsidRPr="009A07D3">
              <w:rPr>
                <w:sz w:val="17"/>
                <w:szCs w:val="17"/>
                <w:lang w:val="en-GB"/>
              </w:rPr>
              <w:t>Special insurance system for fishers: in</w:t>
            </w:r>
            <w:r>
              <w:rPr>
                <w:sz w:val="17"/>
                <w:szCs w:val="17"/>
                <w:lang w:val="en-GB"/>
              </w:rPr>
              <w:t>cludes measures reducing employ</w:t>
            </w:r>
            <w:r w:rsidRPr="009A07D3">
              <w:rPr>
                <w:sz w:val="17"/>
                <w:szCs w:val="17"/>
                <w:lang w:val="en-GB"/>
              </w:rPr>
              <w:t>ers' social security contributions and measures providing health insurance and</w:t>
            </w:r>
            <w:r>
              <w:rPr>
                <w:sz w:val="17"/>
                <w:szCs w:val="17"/>
                <w:lang w:val="en-GB"/>
              </w:rPr>
              <w:t xml:space="preserve"> </w:t>
            </w:r>
            <w:r w:rsidRPr="009A07D3">
              <w:rPr>
                <w:sz w:val="17"/>
                <w:szCs w:val="17"/>
                <w:lang w:val="en-GB"/>
              </w:rPr>
              <w:t>pension schemes with preferential conditions or rates.</w:t>
            </w:r>
          </w:p>
          <w:p w:rsidR="00D03B78" w:rsidRPr="009A07D3" w:rsidRDefault="00D03B78" w:rsidP="006D2EA9">
            <w:pPr>
              <w:pStyle w:val="BoxBodyText"/>
              <w:tabs>
                <w:tab w:val="clear" w:pos="850"/>
                <w:tab w:val="clear" w:pos="1531"/>
              </w:tabs>
              <w:spacing w:after="120"/>
              <w:ind w:left="1167" w:hanging="425"/>
              <w:rPr>
                <w:sz w:val="17"/>
                <w:szCs w:val="17"/>
                <w:lang w:val="en-GB"/>
              </w:rPr>
            </w:pPr>
            <w:r w:rsidRPr="009A07D3">
              <w:rPr>
                <w:sz w:val="17"/>
                <w:szCs w:val="17"/>
                <w:lang w:val="en-GB"/>
              </w:rPr>
              <w:t>I.</w:t>
            </w:r>
            <w:r w:rsidR="00382633">
              <w:rPr>
                <w:sz w:val="17"/>
                <w:szCs w:val="17"/>
                <w:lang w:val="en-GB"/>
              </w:rPr>
              <w:t>C</w:t>
            </w:r>
            <w:r w:rsidRPr="009A07D3">
              <w:rPr>
                <w:sz w:val="17"/>
                <w:szCs w:val="17"/>
                <w:lang w:val="en-GB"/>
              </w:rPr>
              <w:t xml:space="preserve">. </w:t>
            </w:r>
            <w:r>
              <w:rPr>
                <w:sz w:val="17"/>
                <w:szCs w:val="17"/>
                <w:lang w:val="en-GB"/>
              </w:rPr>
              <w:t xml:space="preserve"> </w:t>
            </w:r>
            <w:r w:rsidRPr="009A07D3">
              <w:rPr>
                <w:sz w:val="17"/>
                <w:szCs w:val="17"/>
                <w:lang w:val="en-GB"/>
              </w:rPr>
              <w:t>Transfers based on the reduction of productive capacity: transfers based on the</w:t>
            </w:r>
            <w:r>
              <w:rPr>
                <w:sz w:val="17"/>
                <w:szCs w:val="17"/>
                <w:lang w:val="en-GB"/>
              </w:rPr>
              <w:t xml:space="preserve"> </w:t>
            </w:r>
            <w:r w:rsidRPr="009A07D3">
              <w:rPr>
                <w:sz w:val="17"/>
                <w:szCs w:val="17"/>
                <w:lang w:val="en-GB"/>
              </w:rPr>
              <w:t>removal of vessels and licences from a fishery, including buyouts of quotas and early</w:t>
            </w:r>
            <w:r>
              <w:rPr>
                <w:sz w:val="17"/>
                <w:szCs w:val="17"/>
                <w:lang w:val="en-GB"/>
              </w:rPr>
              <w:t xml:space="preserve"> </w:t>
            </w:r>
            <w:r w:rsidRPr="009A07D3">
              <w:rPr>
                <w:sz w:val="17"/>
                <w:szCs w:val="17"/>
                <w:lang w:val="en-GB"/>
              </w:rPr>
              <w:t>retirement plans.</w:t>
            </w:r>
          </w:p>
          <w:p w:rsidR="00D03B78" w:rsidRDefault="00D03B78" w:rsidP="00382633">
            <w:pPr>
              <w:pStyle w:val="BoxBodyText"/>
              <w:tabs>
                <w:tab w:val="clear" w:pos="850"/>
                <w:tab w:val="clear" w:pos="1531"/>
              </w:tabs>
              <w:spacing w:after="120"/>
              <w:ind w:left="1167" w:hanging="425"/>
              <w:rPr>
                <w:sz w:val="17"/>
                <w:szCs w:val="17"/>
                <w:lang w:val="en-GB"/>
              </w:rPr>
            </w:pPr>
            <w:r w:rsidRPr="009A07D3">
              <w:rPr>
                <w:sz w:val="17"/>
                <w:szCs w:val="17"/>
                <w:lang w:val="en-GB"/>
              </w:rPr>
              <w:t>I.</w:t>
            </w:r>
            <w:r w:rsidR="00382633">
              <w:rPr>
                <w:sz w:val="17"/>
                <w:szCs w:val="17"/>
                <w:lang w:val="en-GB"/>
              </w:rPr>
              <w:t>D</w:t>
            </w:r>
            <w:r w:rsidRPr="009A07D3">
              <w:rPr>
                <w:sz w:val="17"/>
                <w:szCs w:val="17"/>
                <w:lang w:val="en-GB"/>
              </w:rPr>
              <w:t>.</w:t>
            </w:r>
            <w:r>
              <w:rPr>
                <w:sz w:val="17"/>
                <w:szCs w:val="17"/>
                <w:lang w:val="en-GB"/>
              </w:rPr>
              <w:t xml:space="preserve">  </w:t>
            </w:r>
            <w:r w:rsidRPr="009A07D3">
              <w:rPr>
                <w:sz w:val="17"/>
                <w:szCs w:val="17"/>
                <w:lang w:val="en-GB"/>
              </w:rPr>
              <w:t xml:space="preserve"> Miscellaneous transfers to fishers: transfers to </w:t>
            </w:r>
            <w:r>
              <w:rPr>
                <w:sz w:val="17"/>
                <w:szCs w:val="17"/>
                <w:lang w:val="en-GB"/>
              </w:rPr>
              <w:t>fishers</w:t>
            </w:r>
            <w:r w:rsidRPr="009A07D3">
              <w:rPr>
                <w:sz w:val="17"/>
                <w:szCs w:val="17"/>
                <w:lang w:val="en-GB"/>
              </w:rPr>
              <w:t xml:space="preserve"> that cannot be allocated</w:t>
            </w:r>
            <w:r>
              <w:rPr>
                <w:sz w:val="17"/>
                <w:szCs w:val="17"/>
                <w:lang w:val="en-GB"/>
              </w:rPr>
              <w:t xml:space="preserve"> </w:t>
            </w:r>
            <w:r w:rsidRPr="009A07D3">
              <w:rPr>
                <w:sz w:val="17"/>
                <w:szCs w:val="17"/>
                <w:lang w:val="en-GB"/>
              </w:rPr>
              <w:t>to the above categories due, for example, to a lack of information.</w:t>
            </w:r>
          </w:p>
          <w:p w:rsidR="006170FA" w:rsidRPr="006170FA" w:rsidRDefault="006170FA" w:rsidP="006170FA">
            <w:pPr>
              <w:pStyle w:val="BoxBodyText"/>
              <w:tabs>
                <w:tab w:val="clear" w:pos="1531"/>
              </w:tabs>
              <w:ind w:left="1167" w:hanging="425"/>
              <w:rPr>
                <w:sz w:val="17"/>
                <w:szCs w:val="17"/>
              </w:rPr>
            </w:pPr>
            <w:r w:rsidRPr="006170FA">
              <w:rPr>
                <w:sz w:val="17"/>
                <w:szCs w:val="17"/>
              </w:rPr>
              <w:t>II.A. Payment for access to other countries' waters: government-to-government payments for the right of access, for a country's fishing fleet, to operate in another country' EEZ.</w:t>
            </w:r>
          </w:p>
        </w:tc>
      </w:tr>
    </w:tbl>
    <w:p w:rsidR="00D03B78" w:rsidRPr="00172AF3" w:rsidRDefault="00D03B78" w:rsidP="006D2EA9">
      <w:pPr>
        <w:pStyle w:val="Num-DocParagraph"/>
        <w:spacing w:after="200"/>
        <w:rPr>
          <w:sz w:val="21"/>
          <w:szCs w:val="21"/>
        </w:rPr>
      </w:pPr>
      <w:r w:rsidRPr="00172AF3">
        <w:rPr>
          <w:sz w:val="21"/>
          <w:szCs w:val="21"/>
        </w:rPr>
        <w:fldChar w:fldCharType="begin"/>
      </w:r>
      <w:r w:rsidRPr="00172AF3">
        <w:rPr>
          <w:sz w:val="21"/>
          <w:szCs w:val="21"/>
        </w:rPr>
        <w:instrText xml:space="preserve"> MACROBUTTON NUMBERING </w:instrText>
      </w:r>
      <w:r w:rsidRPr="00172AF3">
        <w:rPr>
          <w:sz w:val="21"/>
          <w:szCs w:val="21"/>
        </w:rPr>
        <w:fldChar w:fldCharType="begin"/>
      </w:r>
      <w:r w:rsidRPr="00172AF3">
        <w:rPr>
          <w:sz w:val="21"/>
          <w:szCs w:val="21"/>
        </w:rPr>
        <w:instrText xml:space="preserve"> SEQ  dpara</w:instrText>
      </w:r>
      <w:r w:rsidRPr="00172AF3">
        <w:rPr>
          <w:sz w:val="21"/>
          <w:szCs w:val="21"/>
        </w:rPr>
        <w:fldChar w:fldCharType="separate"/>
      </w:r>
      <w:r w:rsidR="0042183E">
        <w:rPr>
          <w:noProof/>
          <w:sz w:val="21"/>
          <w:szCs w:val="21"/>
        </w:rPr>
        <w:instrText>23</w:instrText>
      </w:r>
      <w:r w:rsidRPr="00172AF3">
        <w:rPr>
          <w:sz w:val="21"/>
          <w:szCs w:val="21"/>
        </w:rPr>
        <w:fldChar w:fldCharType="end"/>
      </w:r>
      <w:r w:rsidRPr="00172AF3">
        <w:rPr>
          <w:sz w:val="21"/>
          <w:szCs w:val="21"/>
        </w:rPr>
        <w:instrText>.</w:instrText>
      </w:r>
      <w:r w:rsidRPr="00172AF3">
        <w:rPr>
          <w:sz w:val="21"/>
          <w:szCs w:val="21"/>
        </w:rPr>
        <w:tab/>
      </w:r>
      <w:r w:rsidRPr="00172AF3">
        <w:rPr>
          <w:sz w:val="21"/>
          <w:szCs w:val="21"/>
        </w:rPr>
        <w:fldChar w:fldCharType="end"/>
      </w:r>
      <w:r w:rsidRPr="00172AF3">
        <w:rPr>
          <w:sz w:val="21"/>
          <w:szCs w:val="21"/>
        </w:rPr>
        <w:t xml:space="preserve">The </w:t>
      </w:r>
      <w:r w:rsidRPr="00C0208D">
        <w:rPr>
          <w:sz w:val="21"/>
          <w:szCs w:val="21"/>
        </w:rPr>
        <w:t>criteria</w:t>
      </w:r>
      <w:r w:rsidRPr="00172AF3">
        <w:rPr>
          <w:sz w:val="21"/>
          <w:szCs w:val="21"/>
        </w:rPr>
        <w:t xml:space="preserve"> for classifying each of the policy measures are</w:t>
      </w:r>
      <w:r>
        <w:rPr>
          <w:sz w:val="21"/>
          <w:szCs w:val="21"/>
        </w:rPr>
        <w:t xml:space="preserve"> designed to be</w:t>
      </w:r>
      <w:r w:rsidRPr="00172AF3">
        <w:rPr>
          <w:sz w:val="21"/>
          <w:szCs w:val="21"/>
        </w:rPr>
        <w:t xml:space="preserve"> mutually exclusive. If </w:t>
      </w:r>
      <w:r>
        <w:rPr>
          <w:sz w:val="21"/>
          <w:szCs w:val="21"/>
        </w:rPr>
        <w:t>a single programme provides different</w:t>
      </w:r>
      <w:r w:rsidRPr="00172AF3">
        <w:rPr>
          <w:sz w:val="21"/>
          <w:szCs w:val="21"/>
        </w:rPr>
        <w:t xml:space="preserve"> transfer</w:t>
      </w:r>
      <w:r>
        <w:rPr>
          <w:sz w:val="21"/>
          <w:szCs w:val="21"/>
        </w:rPr>
        <w:t>s</w:t>
      </w:r>
      <w:r w:rsidRPr="00172AF3">
        <w:rPr>
          <w:sz w:val="21"/>
          <w:szCs w:val="21"/>
        </w:rPr>
        <w:t xml:space="preserve"> to </w:t>
      </w:r>
      <w:r>
        <w:rPr>
          <w:sz w:val="21"/>
          <w:szCs w:val="21"/>
        </w:rPr>
        <w:t xml:space="preserve">fishers </w:t>
      </w:r>
      <w:r w:rsidRPr="00172AF3">
        <w:rPr>
          <w:sz w:val="21"/>
          <w:szCs w:val="21"/>
        </w:rPr>
        <w:t xml:space="preserve">through two (or more) </w:t>
      </w:r>
      <w:r w:rsidR="00C0208D">
        <w:rPr>
          <w:sz w:val="21"/>
          <w:szCs w:val="21"/>
        </w:rPr>
        <w:t>mechanisms</w:t>
      </w:r>
      <w:r>
        <w:rPr>
          <w:sz w:val="21"/>
          <w:szCs w:val="21"/>
        </w:rPr>
        <w:t xml:space="preserve"> but the budgetary data are not disaggregated</w:t>
      </w:r>
      <w:r w:rsidRPr="00172AF3">
        <w:rPr>
          <w:sz w:val="21"/>
          <w:szCs w:val="21"/>
        </w:rPr>
        <w:t>, a suitable allocation key is used to allocate it to the appropriate categories.</w:t>
      </w:r>
    </w:p>
    <w:p w:rsidR="00EA4065" w:rsidRPr="00EA4065" w:rsidRDefault="00EA4065" w:rsidP="006D2EA9">
      <w:pPr>
        <w:pStyle w:val="Num-DocParagraph"/>
        <w:spacing w:after="200"/>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24</w:instrText>
      </w:r>
      <w:r>
        <w:rPr>
          <w:sz w:val="21"/>
          <w:szCs w:val="21"/>
        </w:rPr>
        <w:fldChar w:fldCharType="end"/>
      </w:r>
      <w:r>
        <w:rPr>
          <w:sz w:val="21"/>
          <w:szCs w:val="21"/>
        </w:rPr>
        <w:instrText>.</w:instrText>
      </w:r>
      <w:r>
        <w:rPr>
          <w:sz w:val="21"/>
          <w:szCs w:val="21"/>
        </w:rPr>
        <w:tab/>
      </w:r>
      <w:r>
        <w:rPr>
          <w:sz w:val="21"/>
          <w:szCs w:val="21"/>
        </w:rPr>
        <w:fldChar w:fldCharType="end"/>
      </w:r>
      <w:r w:rsidR="00D03B78" w:rsidRPr="00172AF3">
        <w:rPr>
          <w:sz w:val="21"/>
          <w:szCs w:val="21"/>
        </w:rPr>
        <w:t>In addition to classification into a category, each policy measure is assigned several “labels” that provide additional details on policy implementation (</w:t>
      </w:r>
      <w:r w:rsidR="00D03B78">
        <w:rPr>
          <w:sz w:val="21"/>
          <w:szCs w:val="21"/>
        </w:rPr>
        <w:t>Table 3.1</w:t>
      </w:r>
      <w:r w:rsidR="00D03B78" w:rsidRPr="00172AF3">
        <w:rPr>
          <w:sz w:val="21"/>
          <w:szCs w:val="21"/>
        </w:rPr>
        <w:t>). The labels contain information on the constraints</w:t>
      </w:r>
      <w:r w:rsidR="00D03B78">
        <w:rPr>
          <w:sz w:val="21"/>
          <w:szCs w:val="21"/>
        </w:rPr>
        <w:t xml:space="preserve"> or conditions</w:t>
      </w:r>
      <w:r w:rsidR="00D03B78" w:rsidRPr="00172AF3">
        <w:rPr>
          <w:sz w:val="21"/>
          <w:szCs w:val="21"/>
        </w:rPr>
        <w:t xml:space="preserve"> placed by policies </w:t>
      </w:r>
      <w:r w:rsidR="00D03B78">
        <w:rPr>
          <w:sz w:val="21"/>
          <w:szCs w:val="21"/>
        </w:rPr>
        <w:t>to</w:t>
      </w:r>
      <w:r w:rsidR="00D03B78" w:rsidRPr="00172AF3">
        <w:rPr>
          <w:sz w:val="21"/>
          <w:szCs w:val="21"/>
        </w:rPr>
        <w:t xml:space="preserve"> furthe</w:t>
      </w:r>
      <w:r w:rsidR="00D03B78">
        <w:rPr>
          <w:sz w:val="21"/>
          <w:szCs w:val="21"/>
        </w:rPr>
        <w:t>r specify the basis of the transfer</w:t>
      </w:r>
      <w:r w:rsidR="00D03B78" w:rsidRPr="00172AF3">
        <w:rPr>
          <w:sz w:val="21"/>
          <w:szCs w:val="21"/>
        </w:rPr>
        <w:t xml:space="preserve">. </w:t>
      </w:r>
      <w:r w:rsidR="00D03B78">
        <w:rPr>
          <w:sz w:val="21"/>
          <w:szCs w:val="21"/>
        </w:rPr>
        <w:t>Labels are not mutually exclusive: a transfer may place both restrictions on a fisher’s gear and require co-financing, for example.</w:t>
      </w:r>
      <w:r w:rsidR="00E661CC">
        <w:rPr>
          <w:sz w:val="21"/>
          <w:szCs w:val="21"/>
        </w:rPr>
        <w:t xml:space="preserve"> Labels apply mainly to transfers to individual producers; general transfers do not usually entail any restrictions or conditions in their impact on fishers.</w:t>
      </w:r>
      <w:r w:rsidR="00D03B78">
        <w:rPr>
          <w:sz w:val="21"/>
          <w:szCs w:val="21"/>
        </w:rPr>
        <w:t xml:space="preserve"> </w:t>
      </w:r>
    </w:p>
    <w:p w:rsidR="00D03B78" w:rsidRPr="00172AF3" w:rsidRDefault="00D03B78" w:rsidP="006D2EA9">
      <w:pPr>
        <w:pStyle w:val="Num-DocParagraph"/>
        <w:spacing w:after="200"/>
        <w:rPr>
          <w:sz w:val="21"/>
          <w:szCs w:val="21"/>
        </w:rPr>
      </w:pPr>
      <w:r w:rsidRPr="00172AF3">
        <w:rPr>
          <w:sz w:val="21"/>
          <w:szCs w:val="21"/>
        </w:rPr>
        <w:fldChar w:fldCharType="begin"/>
      </w:r>
      <w:r w:rsidRPr="00172AF3">
        <w:rPr>
          <w:sz w:val="21"/>
          <w:szCs w:val="21"/>
        </w:rPr>
        <w:instrText xml:space="preserve"> MACROBUTTON NUMBERING </w:instrText>
      </w:r>
      <w:r w:rsidRPr="00172AF3">
        <w:rPr>
          <w:sz w:val="21"/>
          <w:szCs w:val="21"/>
        </w:rPr>
        <w:fldChar w:fldCharType="begin"/>
      </w:r>
      <w:r w:rsidRPr="00172AF3">
        <w:rPr>
          <w:sz w:val="21"/>
          <w:szCs w:val="21"/>
        </w:rPr>
        <w:instrText xml:space="preserve"> SEQ  dpara</w:instrText>
      </w:r>
      <w:r w:rsidRPr="00172AF3">
        <w:rPr>
          <w:sz w:val="21"/>
          <w:szCs w:val="21"/>
        </w:rPr>
        <w:fldChar w:fldCharType="separate"/>
      </w:r>
      <w:r w:rsidR="0042183E">
        <w:rPr>
          <w:noProof/>
          <w:sz w:val="21"/>
          <w:szCs w:val="21"/>
        </w:rPr>
        <w:instrText>25</w:instrText>
      </w:r>
      <w:r w:rsidRPr="00172AF3">
        <w:rPr>
          <w:sz w:val="21"/>
          <w:szCs w:val="21"/>
        </w:rPr>
        <w:fldChar w:fldCharType="end"/>
      </w:r>
      <w:r w:rsidRPr="00172AF3">
        <w:rPr>
          <w:sz w:val="21"/>
          <w:szCs w:val="21"/>
        </w:rPr>
        <w:instrText>.</w:instrText>
      </w:r>
      <w:r w:rsidRPr="00172AF3">
        <w:rPr>
          <w:sz w:val="21"/>
          <w:szCs w:val="21"/>
        </w:rPr>
        <w:tab/>
      </w:r>
      <w:r w:rsidRPr="00172AF3">
        <w:rPr>
          <w:sz w:val="21"/>
          <w:szCs w:val="21"/>
        </w:rPr>
        <w:fldChar w:fldCharType="end"/>
      </w:r>
      <w:r w:rsidRPr="00172AF3">
        <w:rPr>
          <w:sz w:val="21"/>
          <w:szCs w:val="21"/>
        </w:rPr>
        <w:t>Distinction between the terms “</w:t>
      </w:r>
      <w:r>
        <w:rPr>
          <w:sz w:val="21"/>
          <w:szCs w:val="21"/>
        </w:rPr>
        <w:t xml:space="preserve">FSE </w:t>
      </w:r>
      <w:r w:rsidRPr="00172AF3">
        <w:rPr>
          <w:sz w:val="21"/>
          <w:szCs w:val="21"/>
        </w:rPr>
        <w:t>category” and “</w:t>
      </w:r>
      <w:r>
        <w:rPr>
          <w:sz w:val="21"/>
          <w:szCs w:val="21"/>
        </w:rPr>
        <w:t xml:space="preserve">FSE </w:t>
      </w:r>
      <w:r w:rsidRPr="00172AF3">
        <w:rPr>
          <w:sz w:val="21"/>
          <w:szCs w:val="21"/>
        </w:rPr>
        <w:t xml:space="preserve">label” is a matter of presentation convention. </w:t>
      </w:r>
      <w:r>
        <w:rPr>
          <w:sz w:val="21"/>
          <w:szCs w:val="21"/>
        </w:rPr>
        <w:t>T</w:t>
      </w:r>
      <w:r w:rsidRPr="00172AF3">
        <w:rPr>
          <w:sz w:val="21"/>
          <w:szCs w:val="21"/>
        </w:rPr>
        <w:t xml:space="preserve">he </w:t>
      </w:r>
      <w:r>
        <w:rPr>
          <w:sz w:val="21"/>
          <w:szCs w:val="21"/>
        </w:rPr>
        <w:t xml:space="preserve">FSE </w:t>
      </w:r>
      <w:r w:rsidRPr="00172AF3">
        <w:rPr>
          <w:sz w:val="21"/>
          <w:szCs w:val="21"/>
        </w:rPr>
        <w:t xml:space="preserve">classification </w:t>
      </w:r>
      <w:r>
        <w:rPr>
          <w:sz w:val="21"/>
          <w:szCs w:val="21"/>
        </w:rPr>
        <w:t>can be seen as a matrix of various policy-</w:t>
      </w:r>
      <w:r w:rsidRPr="00172AF3">
        <w:rPr>
          <w:sz w:val="21"/>
          <w:szCs w:val="21"/>
        </w:rPr>
        <w:t xml:space="preserve">implementation criteria where </w:t>
      </w:r>
      <w:r>
        <w:rPr>
          <w:sz w:val="21"/>
          <w:szCs w:val="21"/>
        </w:rPr>
        <w:t xml:space="preserve">FSE </w:t>
      </w:r>
      <w:r w:rsidRPr="00172AF3">
        <w:rPr>
          <w:sz w:val="21"/>
          <w:szCs w:val="21"/>
        </w:rPr>
        <w:t xml:space="preserve">categories are presented along the vertical axis and </w:t>
      </w:r>
      <w:r>
        <w:rPr>
          <w:sz w:val="21"/>
          <w:szCs w:val="21"/>
        </w:rPr>
        <w:t xml:space="preserve">FSE </w:t>
      </w:r>
      <w:r w:rsidRPr="00172AF3">
        <w:rPr>
          <w:sz w:val="21"/>
          <w:szCs w:val="21"/>
        </w:rPr>
        <w:t xml:space="preserve">labels along the horizontal axis. Labels only represent additional dimensions in which the </w:t>
      </w:r>
      <w:r>
        <w:rPr>
          <w:sz w:val="21"/>
          <w:szCs w:val="21"/>
        </w:rPr>
        <w:t xml:space="preserve">FSE </w:t>
      </w:r>
      <w:r w:rsidRPr="00172AF3">
        <w:rPr>
          <w:sz w:val="21"/>
          <w:szCs w:val="21"/>
        </w:rPr>
        <w:t xml:space="preserve">can be broken down and, like the </w:t>
      </w:r>
      <w:r>
        <w:rPr>
          <w:sz w:val="21"/>
          <w:szCs w:val="21"/>
        </w:rPr>
        <w:t xml:space="preserve">FSE </w:t>
      </w:r>
      <w:r w:rsidRPr="00172AF3">
        <w:rPr>
          <w:sz w:val="21"/>
          <w:szCs w:val="21"/>
        </w:rPr>
        <w:t xml:space="preserve">categories, are defined in terms of implementation criteria rather than policy objectives. Labels could be used as an alternative presentation of policy implementation; they also could theoretically be presented as </w:t>
      </w:r>
      <w:r>
        <w:rPr>
          <w:sz w:val="21"/>
          <w:szCs w:val="21"/>
        </w:rPr>
        <w:t xml:space="preserve">FSE </w:t>
      </w:r>
      <w:r w:rsidRPr="00172AF3">
        <w:rPr>
          <w:sz w:val="21"/>
          <w:szCs w:val="21"/>
        </w:rPr>
        <w:t xml:space="preserve">sub-categories or sub-sub-categories. In designing the structure of the </w:t>
      </w:r>
      <w:r>
        <w:rPr>
          <w:sz w:val="21"/>
          <w:szCs w:val="21"/>
        </w:rPr>
        <w:t xml:space="preserve">FSE </w:t>
      </w:r>
      <w:r w:rsidRPr="00172AF3">
        <w:rPr>
          <w:sz w:val="21"/>
          <w:szCs w:val="21"/>
        </w:rPr>
        <w:t xml:space="preserve">database, the choice between treating a particular implementation criterion </w:t>
      </w:r>
      <w:r w:rsidRPr="00172AF3">
        <w:rPr>
          <w:sz w:val="21"/>
          <w:szCs w:val="21"/>
        </w:rPr>
        <w:lastRenderedPageBreak/>
        <w:t>as a sub-category or a label is one of relative importance and pragmatism, rather than a conceptual difference between these two options.</w:t>
      </w:r>
    </w:p>
    <w:p w:rsidR="00204375" w:rsidRPr="009D1F8E" w:rsidRDefault="00204375" w:rsidP="00204375">
      <w:pPr>
        <w:pStyle w:val="TableTitle"/>
      </w:pPr>
      <w:r>
        <w:t>Table 3.</w:t>
      </w:r>
      <w:r w:rsidR="00E661CC">
        <w:t>1</w:t>
      </w:r>
      <w:r>
        <w:t xml:space="preserve"> Names and definitions of FSE labels</w:t>
      </w:r>
      <w:r>
        <w:fldChar w:fldCharType="begin"/>
      </w:r>
      <w:r>
        <w:instrText xml:space="preserve"> TC \f t \l 2 "</w:instrText>
      </w:r>
      <w:bookmarkStart w:id="129" w:name="_Toc445908275"/>
      <w:r>
        <w:instrText>Table 3.2 Names and definitions of FSE labels</w:instrText>
      </w:r>
      <w:bookmarkEnd w:id="129"/>
      <w:r>
        <w:instrText xml:space="preserve">"  </w:instrText>
      </w:r>
      <w:r>
        <w:fldChar w:fldCharType="end"/>
      </w:r>
    </w:p>
    <w:tbl>
      <w:tblPr>
        <w:tblW w:w="5000" w:type="pct"/>
        <w:tblCellMar>
          <w:top w:w="57" w:type="dxa"/>
          <w:bottom w:w="57" w:type="dxa"/>
        </w:tblCellMar>
        <w:tblLook w:val="04A0" w:firstRow="1" w:lastRow="0" w:firstColumn="1" w:lastColumn="0" w:noHBand="0" w:noVBand="1"/>
      </w:tblPr>
      <w:tblGrid>
        <w:gridCol w:w="2005"/>
        <w:gridCol w:w="7679"/>
      </w:tblGrid>
      <w:tr w:rsidR="00D03B78" w:rsidRPr="00311FB2" w:rsidTr="006D2EA9">
        <w:trPr>
          <w:trHeight w:val="300"/>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 xml:space="preserve">Duration of the programme: </w:t>
            </w:r>
          </w:p>
        </w:tc>
        <w:tc>
          <w:tcPr>
            <w:tcW w:w="3965" w:type="pct"/>
            <w:shd w:val="clear" w:color="auto" w:fill="auto"/>
            <w:vAlign w:val="center"/>
            <w:hideMark/>
          </w:tcPr>
          <w:p w:rsidR="00D03B78" w:rsidRPr="00311FB2" w:rsidRDefault="00D03B78" w:rsidP="006D2EA9">
            <w:pPr>
              <w:rPr>
                <w:rFonts w:ascii="Calibri" w:hAnsi="Calibri" w:cs="Arial"/>
                <w:color w:val="000000"/>
                <w:sz w:val="16"/>
                <w:szCs w:val="16"/>
                <w:lang w:eastAsia="en-GB"/>
              </w:rPr>
            </w:pPr>
            <w:r>
              <w:rPr>
                <w:rFonts w:ascii="Calibri" w:hAnsi="Calibri" w:cs="Arial"/>
                <w:color w:val="000000"/>
                <w:sz w:val="16"/>
                <w:szCs w:val="16"/>
                <w:lang w:eastAsia="en-GB"/>
              </w:rPr>
              <w:t>Two values indicating the start and (if terminated) end year of the programme. Provides an indication of continuity of programmes which can impact fisher’s expectations and short-run or long-run impacts.</w:t>
            </w:r>
          </w:p>
        </w:tc>
      </w:tr>
      <w:tr w:rsidR="00D03B78" w:rsidRPr="00311FB2" w:rsidTr="006D2EA9">
        <w:trPr>
          <w:trHeight w:val="588"/>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 xml:space="preserve">Production-linked: </w:t>
            </w:r>
          </w:p>
        </w:tc>
        <w:tc>
          <w:tcPr>
            <w:tcW w:w="3965" w:type="pct"/>
            <w:shd w:val="clear" w:color="auto" w:fill="auto"/>
            <w:vAlign w:val="center"/>
            <w:hideMark/>
          </w:tcPr>
          <w:p w:rsidR="00D03B78" w:rsidRPr="00311FB2" w:rsidRDefault="00D03B78" w:rsidP="00661295">
            <w:pPr>
              <w:rPr>
                <w:rFonts w:ascii="Calibri" w:hAnsi="Calibri" w:cs="Arial"/>
                <w:color w:val="000000"/>
                <w:sz w:val="16"/>
                <w:szCs w:val="16"/>
                <w:lang w:eastAsia="en-GB"/>
              </w:rPr>
            </w:pPr>
            <w:r>
              <w:rPr>
                <w:rFonts w:ascii="Calibri" w:hAnsi="Calibri" w:cs="Arial"/>
                <w:color w:val="000000"/>
                <w:sz w:val="16"/>
                <w:szCs w:val="16"/>
                <w:lang w:eastAsia="en-GB"/>
              </w:rPr>
              <w:t xml:space="preserve">True if the </w:t>
            </w:r>
            <w:r w:rsidRPr="00311FB2">
              <w:rPr>
                <w:rFonts w:ascii="Calibri" w:hAnsi="Calibri" w:cs="Arial"/>
                <w:color w:val="000000"/>
                <w:sz w:val="16"/>
                <w:szCs w:val="16"/>
                <w:lang w:eastAsia="en-GB"/>
              </w:rPr>
              <w:t>payment increases with the level of harvest (</w:t>
            </w:r>
            <w:r w:rsidRPr="00311FB2">
              <w:rPr>
                <w:rFonts w:ascii="Calibri" w:hAnsi="Calibri" w:cs="Arial"/>
                <w:i/>
                <w:iCs/>
                <w:color w:val="000000"/>
                <w:sz w:val="16"/>
                <w:szCs w:val="16"/>
                <w:lang w:eastAsia="en-GB"/>
              </w:rPr>
              <w:t xml:space="preserve">e.g </w:t>
            </w:r>
            <w:r w:rsidRPr="00311FB2">
              <w:rPr>
                <w:rFonts w:ascii="Calibri" w:hAnsi="Calibri" w:cs="Arial"/>
                <w:color w:val="000000"/>
                <w:sz w:val="16"/>
                <w:szCs w:val="16"/>
                <w:lang w:eastAsia="en-GB"/>
              </w:rPr>
              <w:t>a programme that makes a payment per ton</w:t>
            </w:r>
            <w:r>
              <w:rPr>
                <w:rFonts w:ascii="Calibri" w:hAnsi="Calibri" w:cs="Arial"/>
                <w:color w:val="000000"/>
                <w:sz w:val="16"/>
                <w:szCs w:val="16"/>
                <w:lang w:eastAsia="en-GB"/>
              </w:rPr>
              <w:t>ne</w:t>
            </w:r>
            <w:r w:rsidRPr="00311FB2">
              <w:rPr>
                <w:rFonts w:ascii="Calibri" w:hAnsi="Calibri" w:cs="Arial"/>
                <w:color w:val="000000"/>
                <w:sz w:val="16"/>
                <w:szCs w:val="16"/>
                <w:lang w:eastAsia="en-GB"/>
              </w:rPr>
              <w:t xml:space="preserve"> of fish landed) or with the level of input use (</w:t>
            </w:r>
            <w:r w:rsidRPr="00311FB2">
              <w:rPr>
                <w:rFonts w:ascii="Calibri" w:hAnsi="Calibri" w:cs="Arial"/>
                <w:i/>
                <w:iCs/>
                <w:color w:val="000000"/>
                <w:sz w:val="16"/>
                <w:szCs w:val="16"/>
                <w:lang w:eastAsia="en-GB"/>
              </w:rPr>
              <w:t>e.g.</w:t>
            </w:r>
            <w:r w:rsidRPr="00311FB2">
              <w:rPr>
                <w:rFonts w:ascii="Calibri" w:hAnsi="Calibri" w:cs="Arial"/>
                <w:color w:val="000000"/>
                <w:sz w:val="16"/>
                <w:szCs w:val="16"/>
                <w:lang w:eastAsia="en-GB"/>
              </w:rPr>
              <w:t xml:space="preserve"> quantity of fuel used for fuel tax exemptions</w:t>
            </w:r>
            <w:r>
              <w:rPr>
                <w:rFonts w:ascii="Calibri" w:hAnsi="Calibri" w:cs="Arial"/>
                <w:color w:val="000000"/>
                <w:sz w:val="16"/>
                <w:szCs w:val="16"/>
                <w:lang w:eastAsia="en-GB"/>
              </w:rPr>
              <w:t>,</w:t>
            </w:r>
            <w:r w:rsidRPr="00311FB2">
              <w:rPr>
                <w:rFonts w:ascii="Calibri" w:hAnsi="Calibri" w:cs="Arial"/>
                <w:color w:val="000000"/>
                <w:sz w:val="16"/>
                <w:szCs w:val="16"/>
                <w:lang w:eastAsia="en-GB"/>
              </w:rPr>
              <w:t xml:space="preserve"> </w:t>
            </w:r>
            <w:r w:rsidR="00661295">
              <w:rPr>
                <w:rFonts w:ascii="Calibri" w:hAnsi="Calibri" w:cs="Arial"/>
                <w:color w:val="000000"/>
                <w:sz w:val="16"/>
                <w:szCs w:val="16"/>
                <w:lang w:eastAsia="en-GB"/>
              </w:rPr>
              <w:t>p</w:t>
            </w:r>
            <w:r w:rsidRPr="00311FB2">
              <w:rPr>
                <w:rFonts w:ascii="Calibri" w:hAnsi="Calibri" w:cs="Arial"/>
                <w:color w:val="000000"/>
                <w:sz w:val="16"/>
                <w:szCs w:val="16"/>
                <w:lang w:eastAsia="en-GB"/>
              </w:rPr>
              <w:t>aid to purchase bait).</w:t>
            </w:r>
            <w:r>
              <w:rPr>
                <w:rFonts w:ascii="Calibri" w:hAnsi="Calibri" w:cs="Arial"/>
                <w:color w:val="000000"/>
                <w:sz w:val="16"/>
                <w:szCs w:val="16"/>
                <w:lang w:eastAsia="en-GB"/>
              </w:rPr>
              <w:t xml:space="preserve"> This is a crucial piece of information to determine if a support measure can potentially impact effort or harvest.</w:t>
            </w:r>
          </w:p>
        </w:tc>
      </w:tr>
      <w:tr w:rsidR="00D03B78" w:rsidRPr="00311FB2" w:rsidTr="006D2EA9">
        <w:trPr>
          <w:trHeight w:val="666"/>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Income or effort threshold:</w:t>
            </w:r>
          </w:p>
        </w:tc>
        <w:tc>
          <w:tcPr>
            <w:tcW w:w="3965" w:type="pct"/>
            <w:shd w:val="clear" w:color="auto" w:fill="auto"/>
            <w:vAlign w:val="center"/>
            <w:hideMark/>
          </w:tcPr>
          <w:p w:rsidR="00D03B78" w:rsidRPr="00311FB2" w:rsidRDefault="00D03B78" w:rsidP="006D2EA9">
            <w:pPr>
              <w:rPr>
                <w:rFonts w:ascii="Calibri" w:hAnsi="Calibri" w:cs="Arial"/>
                <w:color w:val="000000"/>
                <w:sz w:val="16"/>
                <w:szCs w:val="16"/>
                <w:lang w:eastAsia="en-GB"/>
              </w:rPr>
            </w:pPr>
            <w:r>
              <w:rPr>
                <w:rFonts w:ascii="Calibri" w:hAnsi="Calibri" w:cs="Arial"/>
                <w:color w:val="000000"/>
                <w:sz w:val="16"/>
                <w:szCs w:val="16"/>
                <w:lang w:eastAsia="en-GB"/>
              </w:rPr>
              <w:t>Value indicates if a minimum,</w:t>
            </w:r>
            <w:r w:rsidRPr="00311FB2">
              <w:rPr>
                <w:rFonts w:ascii="Calibri" w:hAnsi="Calibri" w:cs="Arial"/>
                <w:color w:val="000000"/>
                <w:sz w:val="16"/>
                <w:szCs w:val="16"/>
                <w:lang w:eastAsia="en-GB"/>
              </w:rPr>
              <w:t xml:space="preserve"> maximum </w:t>
            </w:r>
            <w:r>
              <w:rPr>
                <w:rFonts w:ascii="Calibri" w:hAnsi="Calibri" w:cs="Arial"/>
                <w:color w:val="000000"/>
                <w:sz w:val="16"/>
                <w:szCs w:val="16"/>
                <w:lang w:eastAsia="en-GB"/>
              </w:rPr>
              <w:t>or range</w:t>
            </w:r>
            <w:r w:rsidRPr="00311FB2">
              <w:rPr>
                <w:rFonts w:ascii="Calibri" w:hAnsi="Calibri" w:cs="Arial"/>
                <w:color w:val="000000"/>
                <w:sz w:val="16"/>
                <w:szCs w:val="16"/>
                <w:lang w:eastAsia="en-GB"/>
              </w:rPr>
              <w:t xml:space="preserve"> of income or effort </w:t>
            </w:r>
            <w:r>
              <w:rPr>
                <w:rFonts w:ascii="Calibri" w:hAnsi="Calibri" w:cs="Arial"/>
                <w:color w:val="000000"/>
                <w:sz w:val="16"/>
                <w:szCs w:val="16"/>
                <w:lang w:eastAsia="en-GB"/>
              </w:rPr>
              <w:t>is</w:t>
            </w:r>
            <w:r w:rsidRPr="00311FB2">
              <w:rPr>
                <w:rFonts w:ascii="Calibri" w:hAnsi="Calibri" w:cs="Arial"/>
                <w:color w:val="000000"/>
                <w:sz w:val="16"/>
                <w:szCs w:val="16"/>
                <w:lang w:eastAsia="en-GB"/>
              </w:rPr>
              <w:t xml:space="preserve"> required to be eligible for the transfer</w:t>
            </w:r>
            <w:r>
              <w:rPr>
                <w:rFonts w:ascii="Calibri" w:hAnsi="Calibri" w:cs="Arial"/>
                <w:color w:val="000000"/>
                <w:sz w:val="16"/>
                <w:szCs w:val="16"/>
                <w:lang w:eastAsia="en-GB"/>
              </w:rPr>
              <w:t xml:space="preserve">. Provides additional detail on scope and impact of support measures. </w:t>
            </w:r>
          </w:p>
        </w:tc>
      </w:tr>
      <w:tr w:rsidR="00D03B78" w:rsidRPr="00311FB2" w:rsidTr="006D2EA9">
        <w:trPr>
          <w:trHeight w:val="1247"/>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 xml:space="preserve">Fishing behaviour constraints required: </w:t>
            </w:r>
          </w:p>
        </w:tc>
        <w:tc>
          <w:tcPr>
            <w:tcW w:w="3965" w:type="pct"/>
            <w:shd w:val="clear" w:color="auto" w:fill="auto"/>
            <w:vAlign w:val="center"/>
            <w:hideMark/>
          </w:tcPr>
          <w:p w:rsidR="00D03B78" w:rsidRPr="00311FB2" w:rsidRDefault="00D03B78" w:rsidP="006D2EA9">
            <w:pPr>
              <w:rPr>
                <w:rFonts w:ascii="Calibri" w:hAnsi="Calibri" w:cs="Arial"/>
                <w:color w:val="000000"/>
                <w:sz w:val="16"/>
                <w:szCs w:val="16"/>
                <w:lang w:eastAsia="en-GB"/>
              </w:rPr>
            </w:pPr>
            <w:r>
              <w:rPr>
                <w:rFonts w:ascii="Calibri" w:hAnsi="Calibri" w:cs="Arial"/>
                <w:color w:val="000000"/>
                <w:sz w:val="16"/>
                <w:szCs w:val="16"/>
                <w:lang w:eastAsia="en-GB"/>
              </w:rPr>
              <w:t>True</w:t>
            </w:r>
            <w:r w:rsidRPr="00311FB2">
              <w:rPr>
                <w:rFonts w:ascii="Calibri" w:hAnsi="Calibri" w:cs="Arial"/>
                <w:color w:val="000000"/>
                <w:sz w:val="16"/>
                <w:szCs w:val="16"/>
                <w:lang w:eastAsia="en-GB"/>
              </w:rPr>
              <w:t xml:space="preserve"> if the receipt of the transfer requires specific fishing practices or actions to be taken or avoided by the recipient. These specific requirements concern all constraints on production practices from the harvest to the first sale (such as requirements on specific use of gear and other input, selectivity, fish practices, engine power, landing conditions) but do not include pure administrative or enforcement constraints (such as completing logbooks, presence of observers on board). </w:t>
            </w:r>
            <w:r>
              <w:rPr>
                <w:rFonts w:ascii="Calibri" w:hAnsi="Calibri" w:cs="Arial"/>
                <w:color w:val="000000"/>
                <w:sz w:val="16"/>
                <w:szCs w:val="16"/>
                <w:lang w:eastAsia="en-GB"/>
              </w:rPr>
              <w:t xml:space="preserve"> Indicates whether fishers must bear some cost to receive benefits or whether the programme can affect harvest, effort or impact of fishing.</w:t>
            </w:r>
          </w:p>
        </w:tc>
      </w:tr>
      <w:tr w:rsidR="00D03B78" w:rsidRPr="00311FB2" w:rsidTr="006D2EA9">
        <w:trPr>
          <w:trHeight w:val="1153"/>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Restricted to specific species or gear or area:</w:t>
            </w:r>
          </w:p>
        </w:tc>
        <w:tc>
          <w:tcPr>
            <w:tcW w:w="3965" w:type="pct"/>
            <w:shd w:val="clear" w:color="auto" w:fill="auto"/>
            <w:vAlign w:val="center"/>
            <w:hideMark/>
          </w:tcPr>
          <w:p w:rsidR="00D03B78" w:rsidRPr="00311FB2" w:rsidRDefault="00AB57F3" w:rsidP="006D2EA9">
            <w:pPr>
              <w:rPr>
                <w:rFonts w:ascii="Calibri" w:hAnsi="Calibri" w:cs="Arial"/>
                <w:color w:val="000000"/>
                <w:sz w:val="16"/>
                <w:szCs w:val="16"/>
                <w:lang w:eastAsia="en-GB"/>
              </w:rPr>
            </w:pPr>
            <w:r>
              <w:rPr>
                <w:rFonts w:ascii="Calibri" w:hAnsi="Calibri" w:cs="Arial"/>
                <w:color w:val="000000"/>
                <w:sz w:val="16"/>
                <w:szCs w:val="16"/>
                <w:lang w:eastAsia="en-GB"/>
              </w:rPr>
              <w:t>C</w:t>
            </w:r>
            <w:r w:rsidR="00D03B78">
              <w:rPr>
                <w:rFonts w:ascii="Calibri" w:hAnsi="Calibri" w:cs="Arial"/>
                <w:color w:val="000000"/>
                <w:sz w:val="16"/>
                <w:szCs w:val="16"/>
                <w:lang w:eastAsia="en-GB"/>
              </w:rPr>
              <w:t xml:space="preserve">an take different values: </w:t>
            </w:r>
            <w:r w:rsidR="00D03B78" w:rsidRPr="00311FB2">
              <w:rPr>
                <w:rFonts w:ascii="Calibri" w:hAnsi="Calibri" w:cs="Arial"/>
                <w:color w:val="000000"/>
                <w:sz w:val="16"/>
                <w:szCs w:val="16"/>
                <w:lang w:eastAsia="en-GB"/>
              </w:rPr>
              <w:t xml:space="preserve"> “Species” if, for example, only fishers targeting a specific species or group of species are eligible; “Gear" when the use of a specific gear is required to be eligible for the transfer. “Area” when the transfer is available only</w:t>
            </w:r>
            <w:r w:rsidR="00D03B78">
              <w:rPr>
                <w:rFonts w:ascii="Calibri" w:hAnsi="Calibri" w:cs="Arial"/>
                <w:color w:val="000000"/>
                <w:sz w:val="16"/>
                <w:szCs w:val="16"/>
                <w:lang w:eastAsia="en-GB"/>
              </w:rPr>
              <w:t xml:space="preserve"> in a geographically limited area;</w:t>
            </w:r>
            <w:r w:rsidR="00D03B78" w:rsidRPr="00311FB2">
              <w:rPr>
                <w:rFonts w:ascii="Calibri" w:hAnsi="Calibri" w:cs="Arial"/>
                <w:color w:val="000000"/>
                <w:sz w:val="16"/>
                <w:szCs w:val="16"/>
                <w:lang w:eastAsia="en-GB"/>
              </w:rPr>
              <w:t xml:space="preserve"> "None" </w:t>
            </w:r>
            <w:r w:rsidR="00D03B78">
              <w:rPr>
                <w:rFonts w:ascii="Calibri" w:hAnsi="Calibri" w:cs="Arial"/>
                <w:color w:val="000000"/>
                <w:sz w:val="16"/>
                <w:szCs w:val="16"/>
                <w:lang w:eastAsia="en-GB"/>
              </w:rPr>
              <w:t>Otherwise. As for behaviour constraints, this indicates the (opportunity) cost of receiving the transfer and can inform regarding the potential impact of the transfer.</w:t>
            </w:r>
          </w:p>
        </w:tc>
      </w:tr>
      <w:tr w:rsidR="00D03B78" w:rsidRPr="00311FB2" w:rsidTr="006D2EA9">
        <w:trPr>
          <w:trHeight w:val="645"/>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Vessel length limits:</w:t>
            </w:r>
          </w:p>
        </w:tc>
        <w:tc>
          <w:tcPr>
            <w:tcW w:w="3965" w:type="pct"/>
            <w:shd w:val="clear" w:color="auto" w:fill="auto"/>
            <w:vAlign w:val="center"/>
            <w:hideMark/>
          </w:tcPr>
          <w:p w:rsidR="00D03B78" w:rsidRPr="00311FB2" w:rsidRDefault="00D03B78" w:rsidP="006D2EA9">
            <w:pPr>
              <w:rPr>
                <w:rFonts w:ascii="Calibri" w:hAnsi="Calibri" w:cs="Arial"/>
                <w:color w:val="000000"/>
                <w:sz w:val="16"/>
                <w:szCs w:val="16"/>
                <w:lang w:eastAsia="en-GB"/>
              </w:rPr>
            </w:pPr>
            <w:r w:rsidRPr="00311FB2">
              <w:rPr>
                <w:rFonts w:ascii="Calibri" w:hAnsi="Calibri" w:cs="Arial"/>
                <w:color w:val="000000"/>
                <w:sz w:val="16"/>
                <w:szCs w:val="16"/>
                <w:lang w:eastAsia="en-GB"/>
              </w:rPr>
              <w:t xml:space="preserve">When the transfer is dedicated to a specific vessel length class, </w:t>
            </w:r>
            <w:r>
              <w:rPr>
                <w:rFonts w:ascii="Calibri" w:hAnsi="Calibri" w:cs="Arial"/>
                <w:color w:val="000000"/>
                <w:sz w:val="16"/>
                <w:szCs w:val="16"/>
                <w:lang w:eastAsia="en-GB"/>
              </w:rPr>
              <w:t>the</w:t>
            </w:r>
            <w:r w:rsidRPr="00311FB2">
              <w:rPr>
                <w:rFonts w:ascii="Calibri" w:hAnsi="Calibri" w:cs="Arial"/>
                <w:color w:val="000000"/>
                <w:sz w:val="16"/>
                <w:szCs w:val="16"/>
                <w:lang w:eastAsia="en-GB"/>
              </w:rPr>
              <w:t xml:space="preserve"> minimum or maximum vessel length</w:t>
            </w:r>
            <w:r>
              <w:rPr>
                <w:rFonts w:ascii="Calibri" w:hAnsi="Calibri" w:cs="Arial"/>
                <w:color w:val="000000"/>
                <w:sz w:val="16"/>
                <w:szCs w:val="16"/>
                <w:lang w:eastAsia="en-GB"/>
              </w:rPr>
              <w:t>, or both,</w:t>
            </w:r>
            <w:r w:rsidRPr="00311FB2">
              <w:rPr>
                <w:rFonts w:ascii="Calibri" w:hAnsi="Calibri" w:cs="Arial"/>
                <w:color w:val="000000"/>
                <w:sz w:val="16"/>
                <w:szCs w:val="16"/>
                <w:lang w:eastAsia="en-GB"/>
              </w:rPr>
              <w:t xml:space="preserve"> </w:t>
            </w:r>
            <w:r>
              <w:rPr>
                <w:rFonts w:ascii="Calibri" w:hAnsi="Calibri" w:cs="Arial"/>
                <w:color w:val="000000"/>
                <w:sz w:val="16"/>
                <w:szCs w:val="16"/>
                <w:lang w:eastAsia="en-GB"/>
              </w:rPr>
              <w:t>is indicated</w:t>
            </w:r>
            <w:r w:rsidRPr="00311FB2">
              <w:rPr>
                <w:rFonts w:ascii="Calibri" w:hAnsi="Calibri" w:cs="Arial"/>
                <w:color w:val="000000"/>
                <w:sz w:val="16"/>
                <w:szCs w:val="16"/>
                <w:lang w:eastAsia="en-GB"/>
              </w:rPr>
              <w:t xml:space="preserve">. </w:t>
            </w:r>
            <w:r>
              <w:rPr>
                <w:rFonts w:ascii="Calibri" w:hAnsi="Calibri" w:cs="Arial"/>
                <w:color w:val="000000"/>
                <w:sz w:val="16"/>
                <w:szCs w:val="16"/>
                <w:lang w:eastAsia="en-GB"/>
              </w:rPr>
              <w:t>This label provides supplemental information on the incidence and distribution of a transfer.</w:t>
            </w:r>
          </w:p>
        </w:tc>
      </w:tr>
      <w:tr w:rsidR="00D03B78" w:rsidRPr="00311FB2" w:rsidTr="006D2EA9">
        <w:trPr>
          <w:trHeight w:val="876"/>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Kind of recipient:</w:t>
            </w:r>
          </w:p>
        </w:tc>
        <w:tc>
          <w:tcPr>
            <w:tcW w:w="3965" w:type="pct"/>
            <w:shd w:val="clear" w:color="auto" w:fill="auto"/>
            <w:vAlign w:val="center"/>
            <w:hideMark/>
          </w:tcPr>
          <w:p w:rsidR="00D03B78" w:rsidRPr="00311FB2" w:rsidRDefault="00D03B78" w:rsidP="006D2EA9">
            <w:pPr>
              <w:rPr>
                <w:rFonts w:ascii="Calibri" w:hAnsi="Calibri" w:cs="Arial"/>
                <w:color w:val="000000"/>
                <w:sz w:val="16"/>
                <w:szCs w:val="16"/>
                <w:lang w:eastAsia="en-GB"/>
              </w:rPr>
            </w:pPr>
            <w:r w:rsidRPr="00311FB2">
              <w:rPr>
                <w:rFonts w:ascii="Calibri" w:hAnsi="Calibri" w:cs="Arial"/>
                <w:color w:val="000000"/>
                <w:sz w:val="16"/>
                <w:szCs w:val="16"/>
                <w:lang w:eastAsia="en-GB"/>
              </w:rPr>
              <w:t xml:space="preserve">Identifies the recipients of the transfer: fishers, owners of fishing vessels, or both. The “Fishers” category includes </w:t>
            </w:r>
            <w:r>
              <w:rPr>
                <w:rFonts w:ascii="Calibri" w:hAnsi="Calibri" w:cs="Arial"/>
                <w:color w:val="000000"/>
                <w:sz w:val="16"/>
                <w:szCs w:val="16"/>
                <w:lang w:eastAsia="en-GB"/>
              </w:rPr>
              <w:t>captain or crew on a vessel</w:t>
            </w:r>
            <w:r w:rsidRPr="00311FB2">
              <w:rPr>
                <w:rFonts w:ascii="Calibri" w:hAnsi="Calibri" w:cs="Arial"/>
                <w:color w:val="000000"/>
                <w:sz w:val="16"/>
                <w:szCs w:val="16"/>
                <w:lang w:eastAsia="en-GB"/>
              </w:rPr>
              <w:t xml:space="preserve">. “Vessel owners” indicates that </w:t>
            </w:r>
            <w:r>
              <w:rPr>
                <w:rFonts w:ascii="Calibri" w:hAnsi="Calibri" w:cs="Arial"/>
                <w:color w:val="000000"/>
                <w:sz w:val="16"/>
                <w:szCs w:val="16"/>
                <w:lang w:eastAsia="en-GB"/>
              </w:rPr>
              <w:t>the</w:t>
            </w:r>
            <w:r w:rsidRPr="00311FB2">
              <w:rPr>
                <w:rFonts w:ascii="Calibri" w:hAnsi="Calibri" w:cs="Arial"/>
                <w:color w:val="000000"/>
                <w:sz w:val="16"/>
                <w:szCs w:val="16"/>
                <w:lang w:eastAsia="en-GB"/>
              </w:rPr>
              <w:t xml:space="preserve"> fishing vessel owner </w:t>
            </w:r>
            <w:r>
              <w:rPr>
                <w:rFonts w:ascii="Calibri" w:hAnsi="Calibri" w:cs="Arial"/>
                <w:color w:val="000000"/>
                <w:sz w:val="16"/>
                <w:szCs w:val="16"/>
                <w:lang w:eastAsia="en-GB"/>
              </w:rPr>
              <w:t xml:space="preserve">is the </w:t>
            </w:r>
            <w:r w:rsidRPr="00311FB2">
              <w:rPr>
                <w:rFonts w:ascii="Calibri" w:hAnsi="Calibri" w:cs="Arial"/>
                <w:color w:val="000000"/>
                <w:sz w:val="16"/>
                <w:szCs w:val="16"/>
                <w:lang w:eastAsia="en-GB"/>
              </w:rPr>
              <w:t>recipient of the transfer</w:t>
            </w:r>
            <w:r>
              <w:rPr>
                <w:rFonts w:ascii="Calibri" w:hAnsi="Calibri" w:cs="Arial"/>
                <w:color w:val="000000"/>
                <w:sz w:val="16"/>
                <w:szCs w:val="16"/>
                <w:lang w:eastAsia="en-GB"/>
              </w:rPr>
              <w:t>.  “Both” indicates owner-operators, while “None” means no restrictions.  Informs regarding distribution of benefits of a transfer.</w:t>
            </w:r>
          </w:p>
        </w:tc>
      </w:tr>
      <w:tr w:rsidR="00D03B78" w:rsidRPr="00311FB2" w:rsidTr="006D2EA9">
        <w:trPr>
          <w:trHeight w:val="559"/>
        </w:trPr>
        <w:tc>
          <w:tcPr>
            <w:tcW w:w="1035" w:type="pct"/>
            <w:shd w:val="clear" w:color="auto" w:fill="auto"/>
            <w:vAlign w:val="center"/>
            <w:hideMark/>
          </w:tcPr>
          <w:p w:rsidR="00D03B78" w:rsidRPr="00311FB2" w:rsidRDefault="00D03B78" w:rsidP="00994BDF">
            <w:pPr>
              <w:jc w:val="left"/>
              <w:rPr>
                <w:rFonts w:ascii="Calibri" w:hAnsi="Calibri" w:cs="Arial"/>
                <w:b/>
                <w:bCs/>
                <w:color w:val="000000"/>
                <w:sz w:val="16"/>
                <w:szCs w:val="16"/>
                <w:lang w:eastAsia="en-GB"/>
              </w:rPr>
            </w:pPr>
            <w:r w:rsidRPr="00311FB2">
              <w:rPr>
                <w:rFonts w:ascii="Calibri" w:hAnsi="Calibri" w:cs="Arial"/>
                <w:b/>
                <w:bCs/>
                <w:color w:val="000000"/>
                <w:sz w:val="16"/>
                <w:szCs w:val="16"/>
                <w:lang w:eastAsia="en-GB"/>
              </w:rPr>
              <w:t xml:space="preserve">Private co-financing or counterpart required: </w:t>
            </w:r>
          </w:p>
        </w:tc>
        <w:tc>
          <w:tcPr>
            <w:tcW w:w="3965" w:type="pct"/>
            <w:shd w:val="clear" w:color="auto" w:fill="auto"/>
            <w:vAlign w:val="center"/>
            <w:hideMark/>
          </w:tcPr>
          <w:p w:rsidR="00D03B78" w:rsidRPr="00311FB2" w:rsidRDefault="00D03B78" w:rsidP="006D2EA9">
            <w:pPr>
              <w:rPr>
                <w:rFonts w:ascii="Calibri" w:hAnsi="Calibri" w:cs="Arial"/>
                <w:color w:val="000000"/>
                <w:sz w:val="16"/>
                <w:szCs w:val="16"/>
                <w:lang w:eastAsia="en-GB"/>
              </w:rPr>
            </w:pPr>
            <w:r>
              <w:rPr>
                <w:rFonts w:ascii="Calibri" w:hAnsi="Calibri" w:cs="Arial"/>
                <w:color w:val="000000"/>
                <w:sz w:val="16"/>
                <w:szCs w:val="16"/>
                <w:lang w:eastAsia="en-GB"/>
              </w:rPr>
              <w:t>The cost-sharing ratio is indicated i</w:t>
            </w:r>
            <w:r w:rsidRPr="00311FB2">
              <w:rPr>
                <w:rFonts w:ascii="Calibri" w:hAnsi="Calibri" w:cs="Arial"/>
                <w:color w:val="000000"/>
                <w:sz w:val="16"/>
                <w:szCs w:val="16"/>
                <w:lang w:eastAsia="en-GB"/>
              </w:rPr>
              <w:t xml:space="preserve">f the sharing of costs between the government and the recipient is an explicit condition of the transfer. For example, a grant paying 50% of the cost of an investment must be co-financed by the recipient who is obliged to pay the other 50%. </w:t>
            </w:r>
            <w:r>
              <w:rPr>
                <w:rFonts w:ascii="Calibri" w:hAnsi="Calibri" w:cs="Arial"/>
                <w:color w:val="000000"/>
                <w:sz w:val="16"/>
                <w:szCs w:val="16"/>
                <w:lang w:eastAsia="en-GB"/>
              </w:rPr>
              <w:t>This provides an indication of  the cost of receiving the transfer and also regarding induced investment that potentially magnify the impact of the transfer.</w:t>
            </w:r>
          </w:p>
        </w:tc>
      </w:tr>
    </w:tbl>
    <w:p w:rsidR="00D03B78" w:rsidRDefault="00D03B78" w:rsidP="006D2EA9">
      <w:pPr>
        <w:pStyle w:val="Heading2"/>
        <w:spacing w:before="0"/>
        <w:rPr>
          <w:color w:val="0070C0"/>
          <w:sz w:val="21"/>
          <w:szCs w:val="21"/>
        </w:rPr>
      </w:pPr>
      <w:bookmarkStart w:id="130" w:name="_Toc160608152"/>
      <w:bookmarkStart w:id="131" w:name="_Toc160608217"/>
      <w:bookmarkStart w:id="132" w:name="_Toc160608405"/>
      <w:bookmarkStart w:id="133" w:name="_Toc160608979"/>
      <w:bookmarkStart w:id="134" w:name="_Toc160609112"/>
      <w:bookmarkStart w:id="135" w:name="_Toc160609245"/>
      <w:bookmarkStart w:id="136" w:name="_Toc163533457"/>
      <w:bookmarkStart w:id="137" w:name="_Toc169343757"/>
      <w:bookmarkStart w:id="138" w:name="_Toc174936737"/>
      <w:bookmarkStart w:id="139" w:name="_Toc203897751"/>
      <w:bookmarkStart w:id="140" w:name="_Toc203898425"/>
      <w:bookmarkStart w:id="141" w:name="_Toc272931534"/>
      <w:bookmarkStart w:id="142" w:name="_Toc273007835"/>
      <w:bookmarkStart w:id="143" w:name="_Toc361730676"/>
      <w:bookmarkStart w:id="144" w:name="Chapter_3_4"/>
      <w:bookmarkEnd w:id="113"/>
      <w:bookmarkEnd w:id="114"/>
      <w:bookmarkEnd w:id="115"/>
      <w:bookmarkEnd w:id="116"/>
      <w:bookmarkEnd w:id="117"/>
      <w:bookmarkEnd w:id="118"/>
      <w:bookmarkEnd w:id="119"/>
      <w:bookmarkEnd w:id="120"/>
    </w:p>
    <w:p w:rsidR="00D03B78" w:rsidRPr="009D1F8E" w:rsidRDefault="00D03B78" w:rsidP="006D2EA9">
      <w:pPr>
        <w:pStyle w:val="Heading2"/>
        <w:spacing w:before="0"/>
        <w:rPr>
          <w:sz w:val="21"/>
          <w:szCs w:val="21"/>
        </w:rPr>
      </w:pPr>
      <w:bookmarkStart w:id="145" w:name="_Toc435460618"/>
      <w:bookmarkStart w:id="146" w:name="_Toc445973523"/>
      <w:r w:rsidRPr="009D1F8E">
        <w:rPr>
          <w:sz w:val="21"/>
          <w:szCs w:val="21"/>
        </w:rPr>
        <w:t>3.</w:t>
      </w:r>
      <w:r w:rsidR="00BC5592">
        <w:rPr>
          <w:sz w:val="21"/>
          <w:szCs w:val="21"/>
        </w:rPr>
        <w:t>2</w:t>
      </w:r>
      <w:r w:rsidRPr="009D1F8E">
        <w:rPr>
          <w:sz w:val="21"/>
          <w:szCs w:val="21"/>
        </w:rPr>
        <w:t>.</w:t>
      </w:r>
      <w:r w:rsidRPr="009D1F8E">
        <w:rPr>
          <w:sz w:val="21"/>
          <w:szCs w:val="21"/>
        </w:rPr>
        <w:tab/>
        <w:t>Classifying policies that support fishers collectively (GSSE)</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5"/>
      <w:bookmarkEnd w:id="146"/>
    </w:p>
    <w:tbl>
      <w:tblPr>
        <w:tblW w:w="0" w:type="auto"/>
        <w:tblInd w:w="108"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7FFFF"/>
        <w:tblCellMar>
          <w:bottom w:w="113" w:type="dxa"/>
        </w:tblCellMar>
        <w:tblLook w:val="01E0" w:firstRow="1" w:lastRow="1" w:firstColumn="1" w:lastColumn="1" w:noHBand="0" w:noVBand="0"/>
      </w:tblPr>
      <w:tblGrid>
        <w:gridCol w:w="9072"/>
      </w:tblGrid>
      <w:tr w:rsidR="00D03B78" w:rsidRPr="000F0818" w:rsidTr="006D2EA9">
        <w:tc>
          <w:tcPr>
            <w:tcW w:w="9072" w:type="dxa"/>
            <w:shd w:val="clear" w:color="auto" w:fill="F7FFFF"/>
            <w:vAlign w:val="center"/>
          </w:tcPr>
          <w:bookmarkEnd w:id="144"/>
          <w:p w:rsidR="00D03B78" w:rsidRPr="000F0818" w:rsidRDefault="00D03B78" w:rsidP="006D2EA9">
            <w:pPr>
              <w:pStyle w:val="ListBullet"/>
              <w:tabs>
                <w:tab w:val="clear" w:pos="850"/>
                <w:tab w:val="left" w:pos="440"/>
                <w:tab w:val="num" w:pos="975"/>
              </w:tabs>
              <w:spacing w:after="0"/>
              <w:ind w:left="442" w:hanging="442"/>
              <w:jc w:val="left"/>
              <w:rPr>
                <w:rFonts w:ascii="Arial" w:hAnsi="Arial" w:cs="Arial"/>
                <w:sz w:val="17"/>
                <w:szCs w:val="17"/>
              </w:rPr>
            </w:pPr>
            <w:r w:rsidRPr="000F0818">
              <w:rPr>
                <w:rFonts w:ascii="Arial" w:hAnsi="Arial" w:cs="Arial"/>
                <w:sz w:val="17"/>
                <w:szCs w:val="17"/>
              </w:rPr>
              <w:t xml:space="preserve">Policy measures included in the General Services Support Estimate (GSSE) are classified into one of </w:t>
            </w:r>
            <w:r>
              <w:rPr>
                <w:rFonts w:ascii="Arial" w:hAnsi="Arial" w:cs="Arial"/>
                <w:sz w:val="17"/>
                <w:szCs w:val="17"/>
              </w:rPr>
              <w:t>eight</w:t>
            </w:r>
            <w:r w:rsidRPr="000F0818">
              <w:rPr>
                <w:rFonts w:ascii="Arial" w:hAnsi="Arial" w:cs="Arial"/>
                <w:sz w:val="17"/>
                <w:szCs w:val="17"/>
              </w:rPr>
              <w:t xml:space="preserve"> main categories and related sub-categories according to the nature of the services provided to </w:t>
            </w:r>
            <w:r>
              <w:rPr>
                <w:rFonts w:ascii="Arial" w:hAnsi="Arial" w:cs="Arial"/>
                <w:sz w:val="17"/>
                <w:szCs w:val="17"/>
              </w:rPr>
              <w:t>fisheries</w:t>
            </w:r>
            <w:r w:rsidRPr="000F0818">
              <w:rPr>
                <w:rFonts w:ascii="Arial" w:hAnsi="Arial" w:cs="Arial"/>
                <w:sz w:val="17"/>
                <w:szCs w:val="17"/>
              </w:rPr>
              <w:t xml:space="preserve"> generally (and not to individual </w:t>
            </w:r>
            <w:r>
              <w:rPr>
                <w:rFonts w:ascii="Arial" w:hAnsi="Arial" w:cs="Arial"/>
                <w:sz w:val="17"/>
                <w:szCs w:val="17"/>
              </w:rPr>
              <w:t>fishers</w:t>
            </w:r>
            <w:r w:rsidRPr="000F0818">
              <w:rPr>
                <w:rFonts w:ascii="Arial" w:hAnsi="Arial" w:cs="Arial"/>
                <w:sz w:val="17"/>
                <w:szCs w:val="17"/>
              </w:rPr>
              <w:t>).</w:t>
            </w:r>
          </w:p>
        </w:tc>
      </w:tr>
    </w:tbl>
    <w:p w:rsidR="00EA64B8" w:rsidRDefault="00EA64B8" w:rsidP="006D2EA9">
      <w:pPr>
        <w:pStyle w:val="Num-DocParagraph"/>
        <w:spacing w:after="200"/>
        <w:rPr>
          <w:snapToGrid w:val="0"/>
          <w:sz w:val="21"/>
          <w:szCs w:val="21"/>
        </w:rPr>
      </w:pPr>
      <w:r>
        <w:rPr>
          <w:snapToGrid w:val="0"/>
          <w:sz w:val="21"/>
          <w:szCs w:val="21"/>
        </w:rPr>
        <w:fldChar w:fldCharType="begin"/>
      </w:r>
      <w:r>
        <w:rPr>
          <w:snapToGrid w:val="0"/>
          <w:sz w:val="21"/>
          <w:szCs w:val="21"/>
        </w:rPr>
        <w:instrText xml:space="preserve"> MACROBUTTON NUMBERING </w:instrText>
      </w:r>
      <w:r>
        <w:rPr>
          <w:snapToGrid w:val="0"/>
          <w:sz w:val="21"/>
          <w:szCs w:val="21"/>
        </w:rPr>
        <w:fldChar w:fldCharType="begin"/>
      </w:r>
      <w:r>
        <w:rPr>
          <w:snapToGrid w:val="0"/>
          <w:sz w:val="21"/>
          <w:szCs w:val="21"/>
        </w:rPr>
        <w:instrText xml:space="preserve"> SEQ  dpara</w:instrText>
      </w:r>
      <w:r>
        <w:rPr>
          <w:snapToGrid w:val="0"/>
          <w:sz w:val="21"/>
          <w:szCs w:val="21"/>
        </w:rPr>
        <w:fldChar w:fldCharType="separate"/>
      </w:r>
      <w:r w:rsidR="0042183E">
        <w:rPr>
          <w:noProof/>
          <w:snapToGrid w:val="0"/>
          <w:sz w:val="21"/>
          <w:szCs w:val="21"/>
        </w:rPr>
        <w:instrText>26</w:instrText>
      </w:r>
      <w:r>
        <w:rPr>
          <w:snapToGrid w:val="0"/>
          <w:sz w:val="21"/>
          <w:szCs w:val="21"/>
        </w:rPr>
        <w:fldChar w:fldCharType="end"/>
      </w:r>
      <w:r>
        <w:rPr>
          <w:snapToGrid w:val="0"/>
          <w:sz w:val="21"/>
          <w:szCs w:val="21"/>
        </w:rPr>
        <w:instrText>.</w:instrText>
      </w:r>
      <w:r>
        <w:rPr>
          <w:snapToGrid w:val="0"/>
          <w:sz w:val="21"/>
          <w:szCs w:val="21"/>
        </w:rPr>
        <w:tab/>
      </w:r>
      <w:r>
        <w:rPr>
          <w:snapToGrid w:val="0"/>
          <w:sz w:val="21"/>
          <w:szCs w:val="21"/>
        </w:rPr>
        <w:fldChar w:fldCharType="end"/>
      </w:r>
      <w:r w:rsidR="00D03B78" w:rsidRPr="000F0818">
        <w:rPr>
          <w:snapToGrid w:val="0"/>
          <w:sz w:val="21"/>
          <w:szCs w:val="21"/>
        </w:rPr>
        <w:t xml:space="preserve">The transfers in the GSSE are </w:t>
      </w:r>
      <w:r w:rsidR="00BC5592">
        <w:rPr>
          <w:snapToGrid w:val="0"/>
          <w:sz w:val="21"/>
          <w:szCs w:val="21"/>
        </w:rPr>
        <w:t>government expenditures</w:t>
      </w:r>
      <w:r w:rsidR="00D03B78" w:rsidRPr="000F0818">
        <w:rPr>
          <w:snapToGrid w:val="0"/>
          <w:sz w:val="21"/>
          <w:szCs w:val="21"/>
        </w:rPr>
        <w:t xml:space="preserve"> </w:t>
      </w:r>
      <w:r w:rsidR="00BC5592">
        <w:rPr>
          <w:snapToGrid w:val="0"/>
          <w:sz w:val="21"/>
          <w:szCs w:val="21"/>
        </w:rPr>
        <w:t>to provide</w:t>
      </w:r>
      <w:r w:rsidR="00D03B78" w:rsidRPr="000F0818">
        <w:rPr>
          <w:snapToGrid w:val="0"/>
          <w:sz w:val="21"/>
          <w:szCs w:val="21"/>
        </w:rPr>
        <w:t xml:space="preserve"> services to </w:t>
      </w:r>
      <w:r w:rsidR="00D03B78">
        <w:rPr>
          <w:snapToGrid w:val="0"/>
          <w:sz w:val="21"/>
          <w:szCs w:val="21"/>
        </w:rPr>
        <w:t>fisheries</w:t>
      </w:r>
      <w:r w:rsidR="00D03B78" w:rsidRPr="000F0818">
        <w:rPr>
          <w:snapToGrid w:val="0"/>
          <w:sz w:val="21"/>
          <w:szCs w:val="21"/>
        </w:rPr>
        <w:t xml:space="preserve"> generally, and include policies </w:t>
      </w:r>
      <w:r w:rsidR="00D03B78">
        <w:rPr>
          <w:snapToGrid w:val="0"/>
          <w:sz w:val="21"/>
          <w:szCs w:val="21"/>
        </w:rPr>
        <w:t>for which fishers are the main beneficiaries</w:t>
      </w:r>
      <w:r w:rsidR="00D03B78" w:rsidRPr="000F0818">
        <w:rPr>
          <w:snapToGrid w:val="0"/>
          <w:sz w:val="21"/>
          <w:szCs w:val="21"/>
        </w:rPr>
        <w:t xml:space="preserve">. GSSE transfers are not destined to individual </w:t>
      </w:r>
      <w:r w:rsidR="00D03B78">
        <w:rPr>
          <w:snapToGrid w:val="0"/>
          <w:sz w:val="21"/>
          <w:szCs w:val="21"/>
        </w:rPr>
        <w:t>fishers</w:t>
      </w:r>
      <w:r w:rsidR="00D03B78" w:rsidRPr="000F0818">
        <w:rPr>
          <w:snapToGrid w:val="0"/>
          <w:sz w:val="21"/>
          <w:szCs w:val="21"/>
        </w:rPr>
        <w:t xml:space="preserve">, and do not directly affect </w:t>
      </w:r>
      <w:r w:rsidR="00D03B78">
        <w:rPr>
          <w:snapToGrid w:val="0"/>
          <w:sz w:val="21"/>
          <w:szCs w:val="21"/>
        </w:rPr>
        <w:t>their revenue</w:t>
      </w:r>
      <w:r w:rsidR="00D03B78" w:rsidRPr="000F0818">
        <w:rPr>
          <w:snapToGrid w:val="0"/>
          <w:sz w:val="21"/>
          <w:szCs w:val="21"/>
        </w:rPr>
        <w:t xml:space="preserve">, although they </w:t>
      </w:r>
      <w:r w:rsidR="00D03B78">
        <w:rPr>
          <w:snapToGrid w:val="0"/>
          <w:sz w:val="21"/>
          <w:szCs w:val="21"/>
        </w:rPr>
        <w:t>likely have an indirect impact on investment, revenue and activity</w:t>
      </w:r>
      <w:r w:rsidR="00D03B78" w:rsidRPr="000F0818">
        <w:rPr>
          <w:snapToGrid w:val="0"/>
          <w:sz w:val="21"/>
          <w:szCs w:val="21"/>
        </w:rPr>
        <w:t>.</w:t>
      </w:r>
      <w:r w:rsidR="00BC5592">
        <w:rPr>
          <w:snapToGrid w:val="0"/>
          <w:sz w:val="21"/>
          <w:szCs w:val="21"/>
        </w:rPr>
        <w:t xml:space="preserve"> The main GSSE categories cover provision of infrastructure, management, and capacity building </w:t>
      </w:r>
      <w:r>
        <w:rPr>
          <w:snapToGrid w:val="0"/>
          <w:sz w:val="21"/>
          <w:szCs w:val="21"/>
        </w:rPr>
        <w:t>for fishers and the fisheries sector (Box 3.</w:t>
      </w:r>
      <w:r w:rsidR="00B02DA6">
        <w:rPr>
          <w:snapToGrid w:val="0"/>
          <w:sz w:val="21"/>
          <w:szCs w:val="21"/>
        </w:rPr>
        <w:t>2</w:t>
      </w:r>
      <w:r>
        <w:rPr>
          <w:snapToGrid w:val="0"/>
          <w:sz w:val="21"/>
          <w:szCs w:val="21"/>
        </w:rPr>
        <w:t xml:space="preserve">). </w:t>
      </w:r>
    </w:p>
    <w:p w:rsidR="00D03B78" w:rsidRPr="00EA64B8" w:rsidRDefault="00EA64B8" w:rsidP="006D2EA9">
      <w:pPr>
        <w:pStyle w:val="Num-DocParagraph"/>
        <w:spacing w:after="200"/>
        <w:rPr>
          <w:snapToGrid w:val="0"/>
          <w:sz w:val="21"/>
          <w:szCs w:val="21"/>
        </w:rPr>
      </w:pPr>
      <w:r>
        <w:rPr>
          <w:snapToGrid w:val="0"/>
          <w:sz w:val="21"/>
          <w:szCs w:val="21"/>
        </w:rPr>
        <w:fldChar w:fldCharType="begin"/>
      </w:r>
      <w:r>
        <w:rPr>
          <w:snapToGrid w:val="0"/>
          <w:sz w:val="21"/>
          <w:szCs w:val="21"/>
        </w:rPr>
        <w:instrText xml:space="preserve"> MACROBUTTON NUMBERING </w:instrText>
      </w:r>
      <w:r>
        <w:rPr>
          <w:snapToGrid w:val="0"/>
          <w:sz w:val="21"/>
          <w:szCs w:val="21"/>
        </w:rPr>
        <w:fldChar w:fldCharType="begin"/>
      </w:r>
      <w:r>
        <w:rPr>
          <w:snapToGrid w:val="0"/>
          <w:sz w:val="21"/>
          <w:szCs w:val="21"/>
        </w:rPr>
        <w:instrText xml:space="preserve"> SEQ  dpara</w:instrText>
      </w:r>
      <w:r>
        <w:rPr>
          <w:snapToGrid w:val="0"/>
          <w:sz w:val="21"/>
          <w:szCs w:val="21"/>
        </w:rPr>
        <w:fldChar w:fldCharType="separate"/>
      </w:r>
      <w:r w:rsidR="0042183E">
        <w:rPr>
          <w:noProof/>
          <w:snapToGrid w:val="0"/>
          <w:sz w:val="21"/>
          <w:szCs w:val="21"/>
        </w:rPr>
        <w:instrText>27</w:instrText>
      </w:r>
      <w:r>
        <w:rPr>
          <w:snapToGrid w:val="0"/>
          <w:sz w:val="21"/>
          <w:szCs w:val="21"/>
        </w:rPr>
        <w:fldChar w:fldCharType="end"/>
      </w:r>
      <w:r>
        <w:rPr>
          <w:snapToGrid w:val="0"/>
          <w:sz w:val="21"/>
          <w:szCs w:val="21"/>
        </w:rPr>
        <w:instrText>.</w:instrText>
      </w:r>
      <w:r>
        <w:rPr>
          <w:snapToGrid w:val="0"/>
          <w:sz w:val="21"/>
          <w:szCs w:val="21"/>
        </w:rPr>
        <w:tab/>
      </w:r>
      <w:r>
        <w:rPr>
          <w:snapToGrid w:val="0"/>
          <w:sz w:val="21"/>
          <w:szCs w:val="21"/>
        </w:rPr>
        <w:fldChar w:fldCharType="end"/>
      </w:r>
      <w:r w:rsidRPr="00EA64B8">
        <w:rPr>
          <w:snapToGrid w:val="0"/>
          <w:sz w:val="21"/>
          <w:szCs w:val="21"/>
        </w:rPr>
        <w:t xml:space="preserve">The classification is intended to provide information on the level of policy effort made by countries on these different aspects and the differentiation is meant to follow typical policy priorities and be fairly complete. Unlike the </w:t>
      </w:r>
      <w:r>
        <w:rPr>
          <w:snapToGrid w:val="0"/>
          <w:sz w:val="21"/>
          <w:szCs w:val="21"/>
        </w:rPr>
        <w:t>ITF, the main distinctions are thematic rather than founded on economic theory, though it is desirable that this classification could be useful to economic analysis as well.</w:t>
      </w:r>
      <w:r w:rsidR="00F67E94">
        <w:rPr>
          <w:snapToGrid w:val="0"/>
          <w:sz w:val="21"/>
          <w:szCs w:val="21"/>
        </w:rPr>
        <w:t xml:space="preserve"> Some differences highlighted in the classification, such as investments in physical (II.B and D), human (II.E) and social capital (II.C, F and G) are relevant in this regard.  </w:t>
      </w:r>
    </w:p>
    <w:p w:rsidR="00D03B78" w:rsidRPr="000F0818" w:rsidRDefault="00D03B78" w:rsidP="006D2EA9">
      <w:pPr>
        <w:pStyle w:val="Num-DocParagraph"/>
        <w:rPr>
          <w:snapToGrid w:val="0"/>
          <w:sz w:val="21"/>
          <w:szCs w:val="21"/>
        </w:rPr>
      </w:pPr>
      <w:r w:rsidRPr="000F0818">
        <w:rPr>
          <w:sz w:val="21"/>
          <w:szCs w:val="21"/>
        </w:rPr>
        <w:lastRenderedPageBreak/>
        <w:fldChar w:fldCharType="begin"/>
      </w:r>
      <w:r w:rsidRPr="000F0818">
        <w:rPr>
          <w:sz w:val="21"/>
          <w:szCs w:val="21"/>
        </w:rPr>
        <w:instrText xml:space="preserve"> MACROBUTTON NUMBERING </w:instrText>
      </w:r>
      <w:r w:rsidRPr="000F0818">
        <w:rPr>
          <w:sz w:val="21"/>
          <w:szCs w:val="21"/>
        </w:rPr>
        <w:fldChar w:fldCharType="begin"/>
      </w:r>
      <w:r w:rsidRPr="000F0818">
        <w:rPr>
          <w:sz w:val="21"/>
          <w:szCs w:val="21"/>
        </w:rPr>
        <w:instrText xml:space="preserve"> SEQ  dpara</w:instrText>
      </w:r>
      <w:r w:rsidRPr="000F0818">
        <w:rPr>
          <w:sz w:val="21"/>
          <w:szCs w:val="21"/>
        </w:rPr>
        <w:fldChar w:fldCharType="separate"/>
      </w:r>
      <w:r w:rsidR="0042183E">
        <w:rPr>
          <w:noProof/>
          <w:sz w:val="21"/>
          <w:szCs w:val="21"/>
        </w:rPr>
        <w:instrText>28</w:instrText>
      </w:r>
      <w:r w:rsidRPr="000F0818">
        <w:rPr>
          <w:sz w:val="21"/>
          <w:szCs w:val="21"/>
        </w:rPr>
        <w:fldChar w:fldCharType="end"/>
      </w:r>
      <w:r w:rsidRPr="000F0818">
        <w:rPr>
          <w:sz w:val="21"/>
          <w:szCs w:val="21"/>
        </w:rPr>
        <w:instrText>.</w:instrText>
      </w:r>
      <w:r w:rsidRPr="000F0818">
        <w:rPr>
          <w:sz w:val="21"/>
          <w:szCs w:val="21"/>
        </w:rPr>
        <w:tab/>
      </w:r>
      <w:r w:rsidRPr="000F0818">
        <w:rPr>
          <w:sz w:val="21"/>
          <w:szCs w:val="21"/>
        </w:rPr>
        <w:fldChar w:fldCharType="end"/>
      </w:r>
      <w:r w:rsidR="00BC5592">
        <w:rPr>
          <w:sz w:val="21"/>
          <w:szCs w:val="21"/>
        </w:rPr>
        <w:t xml:space="preserve">Fishers benefit from the policies in the GSSE but these policies do not exclusively support fishers. Port infrastructure and activities such as dredging, weather services and dock structures benefit many different types of users. Research and development and marketing and promotion also benefit consumers of fish products. These policies are included because they provide an important and policy-relevant benefit to fishers (principle 2). </w:t>
      </w:r>
    </w:p>
    <w:p w:rsidR="00D03B78" w:rsidRPr="009D1F8E" w:rsidRDefault="00D03B78" w:rsidP="006D2EA9">
      <w:pPr>
        <w:pStyle w:val="TextBoxHeading"/>
        <w:keepNext/>
        <w:pBdr>
          <w:top w:val="single" w:sz="6" w:space="1" w:color="4F81BD"/>
          <w:left w:val="single" w:sz="6" w:space="0" w:color="4F81BD"/>
          <w:bottom w:val="single" w:sz="6" w:space="1" w:color="4F81BD"/>
          <w:right w:val="single" w:sz="6" w:space="1" w:color="4F81BD"/>
        </w:pBdr>
        <w:shd w:val="clear" w:color="auto" w:fill="F7FFFF"/>
        <w:rPr>
          <w:sz w:val="17"/>
          <w:szCs w:val="17"/>
        </w:rPr>
      </w:pPr>
      <w:bookmarkStart w:id="147" w:name="Box_3_4"/>
      <w:bookmarkStart w:id="148" w:name="_Toc203897871"/>
      <w:bookmarkStart w:id="149" w:name="_Toc203898330"/>
      <w:bookmarkStart w:id="150" w:name="_Toc272412006"/>
      <w:bookmarkStart w:id="151" w:name="_Toc273007941"/>
      <w:bookmarkStart w:id="152" w:name="_Toc273008078"/>
      <w:bookmarkStart w:id="153" w:name="_Toc432151241"/>
      <w:bookmarkStart w:id="154" w:name="_Toc445908267"/>
      <w:r w:rsidRPr="009D1F8E">
        <w:rPr>
          <w:sz w:val="17"/>
          <w:szCs w:val="17"/>
        </w:rPr>
        <w:t>Box 3.</w:t>
      </w:r>
      <w:r w:rsidR="00B02DA6">
        <w:rPr>
          <w:sz w:val="17"/>
          <w:szCs w:val="17"/>
        </w:rPr>
        <w:t>2</w:t>
      </w:r>
      <w:r w:rsidRPr="009D1F8E">
        <w:rPr>
          <w:sz w:val="17"/>
          <w:szCs w:val="17"/>
        </w:rPr>
        <w:t>. Names and definitions of the GSSE categories</w:t>
      </w:r>
      <w:bookmarkEnd w:id="147"/>
      <w:bookmarkEnd w:id="148"/>
      <w:bookmarkEnd w:id="149"/>
      <w:bookmarkEnd w:id="150"/>
      <w:bookmarkEnd w:id="151"/>
      <w:bookmarkEnd w:id="152"/>
      <w:r w:rsidRPr="009D1F8E">
        <w:rPr>
          <w:sz w:val="17"/>
          <w:szCs w:val="17"/>
        </w:rPr>
        <w:t xml:space="preserve"> and sub-categories</w:t>
      </w:r>
      <w:bookmarkEnd w:id="153"/>
      <w:bookmarkEnd w:id="154"/>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tabs>
          <w:tab w:val="clear" w:pos="850"/>
        </w:tabs>
        <w:spacing w:after="120"/>
        <w:ind w:left="426" w:hanging="426"/>
        <w:rPr>
          <w:sz w:val="17"/>
          <w:szCs w:val="17"/>
        </w:rPr>
      </w:pPr>
      <w:r w:rsidRPr="00F9768E">
        <w:rPr>
          <w:sz w:val="17"/>
          <w:szCs w:val="17"/>
        </w:rPr>
        <w:t>II.A. Payment for access to other countries' waters: government-to-government payments for the right of access, for a country's fishing fleet, to operate in another country' EEZ.</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sidRPr="00F9768E">
        <w:rPr>
          <w:sz w:val="17"/>
          <w:szCs w:val="17"/>
        </w:rPr>
        <w:t xml:space="preserve">II.B. </w:t>
      </w:r>
      <w:r>
        <w:rPr>
          <w:sz w:val="17"/>
          <w:szCs w:val="17"/>
        </w:rPr>
        <w:t xml:space="preserve"> </w:t>
      </w:r>
      <w:r w:rsidRPr="00F9768E">
        <w:rPr>
          <w:sz w:val="17"/>
          <w:szCs w:val="17"/>
        </w:rPr>
        <w:t>Provision of infrastructure: transfers supporting the construction, management and access to shared facilities.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Pr>
          <w:sz w:val="17"/>
          <w:szCs w:val="17"/>
        </w:rPr>
        <w:tab/>
      </w:r>
      <w:r w:rsidRPr="00F9768E">
        <w:rPr>
          <w:sz w:val="17"/>
          <w:szCs w:val="17"/>
        </w:rPr>
        <w:t>II.B.1. Capital expenditures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Pr>
          <w:sz w:val="17"/>
          <w:szCs w:val="17"/>
        </w:rPr>
        <w:tab/>
      </w:r>
      <w:r w:rsidRPr="00F9768E">
        <w:rPr>
          <w:sz w:val="17"/>
          <w:szCs w:val="17"/>
        </w:rPr>
        <w:t>II.B.2. Subsidized access to infrastructure</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sidRPr="00F9768E">
        <w:rPr>
          <w:sz w:val="17"/>
          <w:szCs w:val="17"/>
        </w:rPr>
        <w:t xml:space="preserve">II.C. </w:t>
      </w:r>
      <w:r>
        <w:rPr>
          <w:sz w:val="17"/>
          <w:szCs w:val="17"/>
        </w:rPr>
        <w:t xml:space="preserve"> </w:t>
      </w:r>
      <w:r w:rsidRPr="00F9768E">
        <w:rPr>
          <w:sz w:val="17"/>
          <w:szCs w:val="17"/>
        </w:rPr>
        <w:t>Marketing and promotion: transfers financing assistance to marketing and promotion of fish products.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sidRPr="00F9768E">
        <w:rPr>
          <w:sz w:val="17"/>
          <w:szCs w:val="17"/>
        </w:rPr>
        <w:t xml:space="preserve">II.D. </w:t>
      </w:r>
      <w:r>
        <w:rPr>
          <w:sz w:val="17"/>
          <w:szCs w:val="17"/>
        </w:rPr>
        <w:t xml:space="preserve"> </w:t>
      </w:r>
      <w:r w:rsidRPr="00F9768E">
        <w:rPr>
          <w:sz w:val="17"/>
          <w:szCs w:val="17"/>
        </w:rPr>
        <w:t xml:space="preserve">Transfers supporting fishing communities: transfers supporting the improvement of livelihoods in </w:t>
      </w:r>
      <w:r>
        <w:rPr>
          <w:sz w:val="17"/>
          <w:szCs w:val="17"/>
        </w:rPr>
        <w:t>fisher</w:t>
      </w:r>
      <w:r w:rsidRPr="00F9768E">
        <w:rPr>
          <w:sz w:val="17"/>
          <w:szCs w:val="17"/>
        </w:rPr>
        <w:t>'s communities.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sidRPr="00F9768E">
        <w:rPr>
          <w:sz w:val="17"/>
          <w:szCs w:val="17"/>
        </w:rPr>
        <w:t xml:space="preserve">II.E. </w:t>
      </w:r>
      <w:r>
        <w:rPr>
          <w:sz w:val="17"/>
          <w:szCs w:val="17"/>
        </w:rPr>
        <w:t xml:space="preserve"> </w:t>
      </w:r>
      <w:r w:rsidRPr="00F9768E">
        <w:rPr>
          <w:sz w:val="17"/>
          <w:szCs w:val="17"/>
        </w:rPr>
        <w:t xml:space="preserve">Education and training: </w:t>
      </w:r>
      <w:r>
        <w:rPr>
          <w:sz w:val="17"/>
          <w:szCs w:val="17"/>
        </w:rPr>
        <w:t>transfers financing training and</w:t>
      </w:r>
      <w:r w:rsidRPr="00F9768E">
        <w:rPr>
          <w:sz w:val="17"/>
          <w:szCs w:val="17"/>
        </w:rPr>
        <w:t xml:space="preserve"> education in the fishery sector.</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sidRPr="00F9768E">
        <w:rPr>
          <w:sz w:val="17"/>
          <w:szCs w:val="17"/>
        </w:rPr>
        <w:t xml:space="preserve">II.F. </w:t>
      </w:r>
      <w:r>
        <w:rPr>
          <w:sz w:val="17"/>
          <w:szCs w:val="17"/>
        </w:rPr>
        <w:t xml:space="preserve"> </w:t>
      </w:r>
      <w:r w:rsidRPr="00F9768E">
        <w:rPr>
          <w:sz w:val="17"/>
          <w:szCs w:val="17"/>
        </w:rPr>
        <w:t>Research and development: transfers financing research and development of activities improving production.</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sidRPr="00F9768E">
        <w:rPr>
          <w:sz w:val="17"/>
          <w:szCs w:val="17"/>
        </w:rPr>
        <w:t>II.G. Management of resources: transfers financing management activities improving the productivity or the sustainability of aquatic resources.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Pr>
          <w:sz w:val="17"/>
          <w:szCs w:val="17"/>
        </w:rPr>
        <w:tab/>
      </w:r>
      <w:r w:rsidRPr="00F9768E">
        <w:rPr>
          <w:sz w:val="17"/>
          <w:szCs w:val="17"/>
        </w:rPr>
        <w:t>II.G.1. Management expenditures: transfers financing the expenditures associated with management program</w:t>
      </w:r>
      <w:r>
        <w:rPr>
          <w:sz w:val="17"/>
          <w:szCs w:val="17"/>
        </w:rPr>
        <w:t>me</w:t>
      </w:r>
      <w:r w:rsidRPr="00F9768E">
        <w:rPr>
          <w:sz w:val="17"/>
          <w:szCs w:val="17"/>
        </w:rPr>
        <w:t>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Pr>
          <w:sz w:val="17"/>
          <w:szCs w:val="17"/>
        </w:rPr>
        <w:tab/>
      </w:r>
      <w:r w:rsidRPr="00F9768E">
        <w:rPr>
          <w:sz w:val="17"/>
          <w:szCs w:val="17"/>
        </w:rPr>
        <w:t>II.G.2. Stock enhancement program</w:t>
      </w:r>
      <w:r>
        <w:rPr>
          <w:sz w:val="17"/>
          <w:szCs w:val="17"/>
        </w:rPr>
        <w:t>mes: transfers financing stock-</w:t>
      </w:r>
      <w:r w:rsidRPr="00F9768E">
        <w:rPr>
          <w:sz w:val="17"/>
          <w:szCs w:val="17"/>
        </w:rPr>
        <w:t>enhancement program</w:t>
      </w:r>
      <w:r>
        <w:rPr>
          <w:sz w:val="17"/>
          <w:szCs w:val="17"/>
        </w:rPr>
        <w:t>me</w:t>
      </w:r>
      <w:r w:rsidRPr="00F9768E">
        <w:rPr>
          <w:sz w:val="17"/>
          <w:szCs w:val="17"/>
        </w:rPr>
        <w:t>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Pr>
          <w:sz w:val="17"/>
          <w:szCs w:val="17"/>
        </w:rPr>
        <w:tab/>
      </w:r>
      <w:r w:rsidRPr="00F9768E">
        <w:rPr>
          <w:sz w:val="17"/>
          <w:szCs w:val="17"/>
        </w:rPr>
        <w:t xml:space="preserve">II.G.3. </w:t>
      </w:r>
      <w:r>
        <w:rPr>
          <w:sz w:val="17"/>
          <w:szCs w:val="17"/>
        </w:rPr>
        <w:t>Surveillance and e</w:t>
      </w:r>
      <w:r w:rsidRPr="00F9768E">
        <w:rPr>
          <w:sz w:val="17"/>
          <w:szCs w:val="17"/>
        </w:rPr>
        <w:t>nforcement expenditures: transfers financing enforcement of management measures.</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tabs>
          <w:tab w:val="clear" w:pos="850"/>
        </w:tabs>
        <w:spacing w:after="120"/>
        <w:ind w:left="426" w:hanging="426"/>
        <w:rPr>
          <w:sz w:val="17"/>
          <w:szCs w:val="17"/>
        </w:rPr>
      </w:pPr>
      <w:r w:rsidRPr="00F9768E">
        <w:rPr>
          <w:sz w:val="17"/>
          <w:szCs w:val="17"/>
        </w:rPr>
        <w:t xml:space="preserve">II.H. </w:t>
      </w:r>
      <w:r>
        <w:rPr>
          <w:sz w:val="17"/>
          <w:szCs w:val="17"/>
        </w:rPr>
        <w:t xml:space="preserve"> </w:t>
      </w:r>
      <w:r w:rsidRPr="00F9768E">
        <w:rPr>
          <w:sz w:val="17"/>
          <w:szCs w:val="17"/>
        </w:rPr>
        <w:t>Miscellaneous transfers to general services: transfers financing other general services that cannot be disaggregated and allocated to the above categories due, for</w:t>
      </w:r>
      <w:r>
        <w:rPr>
          <w:sz w:val="17"/>
          <w:szCs w:val="17"/>
        </w:rPr>
        <w:t xml:space="preserve"> </w:t>
      </w:r>
      <w:r w:rsidRPr="00F9768E">
        <w:rPr>
          <w:sz w:val="17"/>
          <w:szCs w:val="17"/>
        </w:rPr>
        <w:t>example, to a lack of information.</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p>
    <w:bookmarkStart w:id="155" w:name="_Toc370817950"/>
    <w:bookmarkStart w:id="156" w:name="_Toc370817998"/>
    <w:p w:rsidR="00D03B78" w:rsidRDefault="00D03B78" w:rsidP="006D2EA9">
      <w:pPr>
        <w:pStyle w:val="Num-DocParagraph"/>
        <w:spacing w:after="200"/>
        <w:rPr>
          <w:snapToGrid w:val="0"/>
          <w:sz w:val="21"/>
          <w:szCs w:val="21"/>
        </w:rPr>
      </w:pPr>
      <w:r>
        <w:rPr>
          <w:bCs/>
          <w:iCs/>
        </w:rPr>
        <w:fldChar w:fldCharType="begin"/>
      </w:r>
      <w:r>
        <w:rPr>
          <w:bCs/>
          <w:iCs/>
        </w:rPr>
        <w:instrText xml:space="preserve"> MACROBUTTON NUMBERING </w:instrText>
      </w:r>
      <w:r>
        <w:rPr>
          <w:bCs/>
          <w:iCs/>
        </w:rPr>
        <w:fldChar w:fldCharType="begin"/>
      </w:r>
      <w:r>
        <w:rPr>
          <w:bCs/>
          <w:iCs/>
        </w:rPr>
        <w:instrText xml:space="preserve"> SEQ  dpara</w:instrText>
      </w:r>
      <w:r>
        <w:rPr>
          <w:bCs/>
          <w:iCs/>
        </w:rPr>
        <w:fldChar w:fldCharType="separate"/>
      </w:r>
      <w:r w:rsidR="0042183E">
        <w:rPr>
          <w:bCs/>
          <w:iCs/>
          <w:noProof/>
        </w:rPr>
        <w:instrText>29</w:instrText>
      </w:r>
      <w:r>
        <w:rPr>
          <w:bCs/>
          <w:iCs/>
        </w:rPr>
        <w:fldChar w:fldCharType="end"/>
      </w:r>
      <w:r>
        <w:rPr>
          <w:bCs/>
          <w:iCs/>
        </w:rPr>
        <w:instrText>.</w:instrText>
      </w:r>
      <w:r>
        <w:rPr>
          <w:bCs/>
          <w:iCs/>
        </w:rPr>
        <w:tab/>
      </w:r>
      <w:r>
        <w:rPr>
          <w:bCs/>
          <w:iCs/>
        </w:rPr>
        <w:fldChar w:fldCharType="end"/>
      </w:r>
      <w:r>
        <w:rPr>
          <w:bCs/>
          <w:iCs/>
        </w:rPr>
        <w:t>T</w:t>
      </w:r>
      <w:r w:rsidRPr="005C2228">
        <w:rPr>
          <w:bCs/>
          <w:iCs/>
        </w:rPr>
        <w:t xml:space="preserve">he </w:t>
      </w:r>
      <w:r w:rsidRPr="005C2228">
        <w:rPr>
          <w:b/>
          <w:bCs/>
          <w:i/>
          <w:iCs/>
        </w:rPr>
        <w:t>Marketing and promotion</w:t>
      </w:r>
      <w:bookmarkEnd w:id="155"/>
      <w:bookmarkEnd w:id="156"/>
      <w:r w:rsidRPr="005C2228">
        <w:rPr>
          <w:b/>
          <w:bCs/>
          <w:i/>
          <w:iCs/>
        </w:rPr>
        <w:t xml:space="preserve"> </w:t>
      </w:r>
      <w:r w:rsidRPr="005C2228">
        <w:rPr>
          <w:bCs/>
          <w:iCs/>
        </w:rPr>
        <w:t xml:space="preserve">category </w:t>
      </w:r>
      <w:r>
        <w:rPr>
          <w:bCs/>
          <w:iCs/>
        </w:rPr>
        <w:t>should</w:t>
      </w:r>
      <w:r w:rsidRPr="005C2228">
        <w:rPr>
          <w:bCs/>
          <w:iCs/>
        </w:rPr>
        <w:t xml:space="preserve"> </w:t>
      </w:r>
      <w:r>
        <w:rPr>
          <w:bCs/>
          <w:iCs/>
        </w:rPr>
        <w:t xml:space="preserve">contain any </w:t>
      </w:r>
      <w:r>
        <w:rPr>
          <w:iCs/>
        </w:rPr>
        <w:t>c</w:t>
      </w:r>
      <w:r w:rsidRPr="00541AEB">
        <w:rPr>
          <w:iCs/>
        </w:rPr>
        <w:t>ollective schemes for processing and marketing</w:t>
      </w:r>
      <w:r>
        <w:rPr>
          <w:iCs/>
        </w:rPr>
        <w:t>. That is,</w:t>
      </w:r>
      <w:r w:rsidRPr="005C2228">
        <w:rPr>
          <w:i/>
          <w:iCs/>
        </w:rPr>
        <w:t xml:space="preserve"> </w:t>
      </w:r>
      <w:r w:rsidRPr="005C2228">
        <w:t xml:space="preserve">budgetary expenditure that finances investments in downstream activities designed to improve the marketing environment for </w:t>
      </w:r>
      <w:r>
        <w:t>fisheries</w:t>
      </w:r>
      <w:r w:rsidRPr="005C2228">
        <w:t>. It captures support to collective processing, marketing s</w:t>
      </w:r>
      <w:r>
        <w:t>chemes and marketing facilities</w:t>
      </w:r>
      <w:r w:rsidRPr="005C2228">
        <w:t>.</w:t>
      </w:r>
      <w:r w:rsidRPr="005C2228">
        <w:rPr>
          <w:iCs/>
        </w:rPr>
        <w:t xml:space="preserve"> </w:t>
      </w:r>
      <w:r w:rsidRPr="00541AEB">
        <w:rPr>
          <w:iCs/>
        </w:rPr>
        <w:t>It should also contain</w:t>
      </w:r>
      <w:r w:rsidRPr="005C2228">
        <w:t xml:space="preserve"> budgetary expenditure that finances assistance to the collective promotion of </w:t>
      </w:r>
      <w:r>
        <w:t>fisheries</w:t>
      </w:r>
      <w:r w:rsidRPr="005C2228">
        <w:t xml:space="preserve"> products (e.g. prom</w:t>
      </w:r>
      <w:r>
        <w:t>otion campaigns, participation i</w:t>
      </w:r>
      <w:r w:rsidRPr="005C2228">
        <w:t>n international fairs), as we</w:t>
      </w:r>
      <w:r>
        <w:t>ll as activities promoting food-</w:t>
      </w:r>
      <w:r w:rsidRPr="005C2228">
        <w:t>quality schemes. It does not include public expenditure related to export subsidies</w:t>
      </w:r>
      <w:r>
        <w:t>, market withdrawals or intervention purchases</w:t>
      </w:r>
      <w:r w:rsidRPr="005C2228">
        <w:t>.</w:t>
      </w:r>
      <w:r w:rsidRPr="00541AEB">
        <w:rPr>
          <w:snapToGrid w:val="0"/>
          <w:sz w:val="21"/>
          <w:szCs w:val="21"/>
        </w:rPr>
        <w:t xml:space="preserve"> </w:t>
      </w:r>
    </w:p>
    <w:p w:rsidR="00D03B78" w:rsidRDefault="00D03B78" w:rsidP="006D2EA9">
      <w:pPr>
        <w:pStyle w:val="Num-DocParagraph"/>
        <w:rPr>
          <w:snapToGrid w:val="0"/>
        </w:rPr>
      </w:pPr>
      <w:r>
        <w:rPr>
          <w:snapToGrid w:val="0"/>
        </w:rPr>
        <w:fldChar w:fldCharType="begin"/>
      </w:r>
      <w:r>
        <w:rPr>
          <w:snapToGrid w:val="0"/>
        </w:rPr>
        <w:instrText xml:space="preserve"> MACROBUTTON NUMBERING </w:instrText>
      </w:r>
      <w:r>
        <w:rPr>
          <w:snapToGrid w:val="0"/>
        </w:rPr>
        <w:fldChar w:fldCharType="begin"/>
      </w:r>
      <w:r>
        <w:rPr>
          <w:snapToGrid w:val="0"/>
        </w:rPr>
        <w:instrText xml:space="preserve"> SEQ  dpara</w:instrText>
      </w:r>
      <w:r>
        <w:rPr>
          <w:snapToGrid w:val="0"/>
        </w:rPr>
        <w:fldChar w:fldCharType="separate"/>
      </w:r>
      <w:r w:rsidR="0042183E">
        <w:rPr>
          <w:noProof/>
          <w:snapToGrid w:val="0"/>
        </w:rPr>
        <w:instrText>30</w:instrText>
      </w:r>
      <w:r>
        <w:rPr>
          <w:snapToGrid w:val="0"/>
        </w:rPr>
        <w:fldChar w:fldCharType="end"/>
      </w:r>
      <w:r>
        <w:rPr>
          <w:snapToGrid w:val="0"/>
        </w:rPr>
        <w:instrText>.</w:instrText>
      </w:r>
      <w:r>
        <w:rPr>
          <w:snapToGrid w:val="0"/>
        </w:rPr>
        <w:tab/>
      </w:r>
      <w:r>
        <w:rPr>
          <w:snapToGrid w:val="0"/>
        </w:rPr>
        <w:fldChar w:fldCharType="end"/>
      </w:r>
      <w:r w:rsidRPr="00541AEB">
        <w:rPr>
          <w:snapToGrid w:val="0"/>
        </w:rPr>
        <w:t xml:space="preserve">Budgetary expenditures that finance </w:t>
      </w:r>
      <w:r>
        <w:rPr>
          <w:b/>
          <w:i/>
          <w:snapToGrid w:val="0"/>
        </w:rPr>
        <w:t>Research and d</w:t>
      </w:r>
      <w:r w:rsidRPr="00541AEB">
        <w:rPr>
          <w:b/>
          <w:i/>
          <w:snapToGrid w:val="0"/>
        </w:rPr>
        <w:t>evelopment (R&amp;D)</w:t>
      </w:r>
      <w:r w:rsidRPr="00541AEB">
        <w:rPr>
          <w:snapToGrid w:val="0"/>
        </w:rPr>
        <w:t xml:space="preserve"> activities related to fisheries  are included irrespective of the institution (private or public, ministry, university, research centre or </w:t>
      </w:r>
      <w:r>
        <w:rPr>
          <w:snapToGrid w:val="0"/>
        </w:rPr>
        <w:t>fisher</w:t>
      </w:r>
      <w:r w:rsidRPr="00541AEB">
        <w:rPr>
          <w:snapToGrid w:val="0"/>
        </w:rPr>
        <w:t xml:space="preserve"> group) or  where they take place, the nature of research (scientific, institutional, etc.), or its purpose. The focus is on R&amp;D expenditures on applied research related </w:t>
      </w:r>
      <w:r>
        <w:rPr>
          <w:snapToGrid w:val="0"/>
        </w:rPr>
        <w:t>to the fisheries sector. Social-</w:t>
      </w:r>
      <w:r w:rsidRPr="00541AEB">
        <w:rPr>
          <w:snapToGrid w:val="0"/>
        </w:rPr>
        <w:t xml:space="preserve">sciences </w:t>
      </w:r>
      <w:r>
        <w:rPr>
          <w:snapToGrid w:val="0"/>
        </w:rPr>
        <w:t xml:space="preserve">research </w:t>
      </w:r>
      <w:r w:rsidRPr="00541AEB">
        <w:rPr>
          <w:snapToGrid w:val="0"/>
        </w:rPr>
        <w:t xml:space="preserve">related to fisheries </w:t>
      </w:r>
      <w:r>
        <w:rPr>
          <w:snapToGrid w:val="0"/>
        </w:rPr>
        <w:t xml:space="preserve">is </w:t>
      </w:r>
      <w:r w:rsidRPr="00541AEB">
        <w:rPr>
          <w:snapToGrid w:val="0"/>
        </w:rPr>
        <w:t xml:space="preserve">included. To the extent possible, R&amp;D related to forestry, </w:t>
      </w:r>
      <w:r>
        <w:rPr>
          <w:snapToGrid w:val="0"/>
        </w:rPr>
        <w:t>agriculture</w:t>
      </w:r>
      <w:r w:rsidRPr="00541AEB">
        <w:rPr>
          <w:snapToGrid w:val="0"/>
        </w:rPr>
        <w:t xml:space="preserve">, etc., should be excluded and, if the information is not readily available, the method used to estimate the share </w:t>
      </w:r>
      <w:r>
        <w:rPr>
          <w:snapToGrid w:val="0"/>
        </w:rPr>
        <w:t xml:space="preserve">allocated to fisheries </w:t>
      </w:r>
      <w:r w:rsidRPr="00541AEB">
        <w:rPr>
          <w:snapToGrid w:val="0"/>
        </w:rPr>
        <w:t>should be clearly stated in the documentation. Data dissemination when associated primarily with research and development (knowledge generation), e.g. reports from research and databases developed as an adjunct to research, also belongs to this sub-category.</w:t>
      </w:r>
    </w:p>
    <w:p w:rsidR="00D03B78" w:rsidRDefault="00D03B78"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31</w:instrText>
      </w:r>
      <w:r>
        <w:fldChar w:fldCharType="end"/>
      </w:r>
      <w:r>
        <w:instrText>.</w:instrText>
      </w:r>
      <w:r>
        <w:tab/>
      </w:r>
      <w:r>
        <w:fldChar w:fldCharType="end"/>
      </w:r>
      <w:r w:rsidRPr="00541AEB">
        <w:t xml:space="preserve"> </w:t>
      </w:r>
      <w:r w:rsidRPr="00541AEB">
        <w:rPr>
          <w:b/>
          <w:i/>
        </w:rPr>
        <w:t xml:space="preserve">Management of </w:t>
      </w:r>
      <w:r>
        <w:rPr>
          <w:b/>
          <w:i/>
        </w:rPr>
        <w:t>r</w:t>
      </w:r>
      <w:r w:rsidRPr="00541AEB">
        <w:rPr>
          <w:b/>
          <w:i/>
        </w:rPr>
        <w:t>esources</w:t>
      </w:r>
      <w:r>
        <w:t xml:space="preserve"> is broken down into three sub-categories. The first of these, </w:t>
      </w:r>
      <w:r w:rsidRPr="00541AEB">
        <w:rPr>
          <w:b/>
          <w:i/>
        </w:rPr>
        <w:t>Management expenditure</w:t>
      </w:r>
      <w:r>
        <w:rPr>
          <w:b/>
          <w:i/>
        </w:rPr>
        <w:t>s</w:t>
      </w:r>
      <w:r>
        <w:t xml:space="preserve"> can pose difficulties in breaking out this component of activity from the larger administration of fisheries in the responsible ministry or agency. </w:t>
      </w:r>
      <w:r w:rsidRPr="00541AEB">
        <w:t xml:space="preserve"> </w:t>
      </w:r>
      <w:r>
        <w:t xml:space="preserve">The document </w:t>
      </w:r>
      <w:r w:rsidRPr="00AD74E7">
        <w:rPr>
          <w:i/>
        </w:rPr>
        <w:t>The Costs of Managing Fisheries</w:t>
      </w:r>
      <w:r>
        <w:t xml:space="preserve"> (OECD 2003) breaks down management expenditures into three categories: </w:t>
      </w:r>
    </w:p>
    <w:p w:rsidR="00D03B78" w:rsidRDefault="00D03B78" w:rsidP="006D2EA9">
      <w:pPr>
        <w:autoSpaceDE w:val="0"/>
        <w:autoSpaceDN w:val="0"/>
        <w:adjustRightInd w:val="0"/>
        <w:rPr>
          <w:i/>
        </w:rPr>
      </w:pPr>
      <w:r w:rsidRPr="00AD74E7">
        <w:rPr>
          <w:i/>
          <w:iCs/>
        </w:rPr>
        <w:t xml:space="preserve">Management services </w:t>
      </w:r>
      <w:r w:rsidRPr="00AD74E7">
        <w:rPr>
          <w:i/>
        </w:rPr>
        <w:t xml:space="preserve">are of a </w:t>
      </w:r>
      <w:r>
        <w:rPr>
          <w:i/>
        </w:rPr>
        <w:t>“</w:t>
      </w:r>
      <w:r w:rsidRPr="00AD74E7">
        <w:rPr>
          <w:i/>
        </w:rPr>
        <w:t>process and procedures</w:t>
      </w:r>
      <w:r>
        <w:rPr>
          <w:i/>
        </w:rPr>
        <w:t>”</w:t>
      </w:r>
      <w:r w:rsidRPr="00AD74E7">
        <w:rPr>
          <w:i/>
        </w:rPr>
        <w:t xml:space="preserve"> nature and usually comprise three functions:</w:t>
      </w:r>
    </w:p>
    <w:p w:rsidR="00D03B78" w:rsidRPr="00D2768F" w:rsidRDefault="00D03B78" w:rsidP="006D2EA9">
      <w:pPr>
        <w:autoSpaceDE w:val="0"/>
        <w:autoSpaceDN w:val="0"/>
        <w:adjustRightInd w:val="0"/>
        <w:rPr>
          <w:i/>
        </w:rPr>
      </w:pPr>
    </w:p>
    <w:p w:rsidR="00D03B78" w:rsidRPr="00CD35FB" w:rsidRDefault="00D03B78" w:rsidP="006D2EA9">
      <w:pPr>
        <w:pStyle w:val="ListNumber"/>
        <w:rPr>
          <w:i/>
          <w:lang w:eastAsia="en-US"/>
        </w:rPr>
      </w:pPr>
      <w:r w:rsidRPr="00CD35FB">
        <w:rPr>
          <w:i/>
          <w:lang w:eastAsia="en-US"/>
        </w:rPr>
        <w:t>Adjusting management settings within an existing management system. An example of these types of adjustment is the annual process of TAC setting that occurs regularly in OECD countries.</w:t>
      </w:r>
    </w:p>
    <w:p w:rsidR="00D03B78" w:rsidRPr="00CD35FB" w:rsidRDefault="00D03B78" w:rsidP="006D2EA9">
      <w:pPr>
        <w:pStyle w:val="ListNumber"/>
        <w:rPr>
          <w:i/>
          <w:lang w:eastAsia="en-US"/>
        </w:rPr>
      </w:pPr>
      <w:r w:rsidRPr="00CD35FB">
        <w:rPr>
          <w:i/>
          <w:lang w:eastAsia="en-US"/>
        </w:rPr>
        <w:t>Recommending amendments or additions to the existing management system. An example of this more fundamental form of change might be the decision to introduce new effort controls (for example, limits on number of vessels) or output controls (for example, vessel or fisher quotas).</w:t>
      </w:r>
    </w:p>
    <w:p w:rsidR="00D03B78" w:rsidRPr="00CD35FB" w:rsidRDefault="00D03B78" w:rsidP="006D2EA9">
      <w:pPr>
        <w:pStyle w:val="ListNumber"/>
        <w:rPr>
          <w:i/>
        </w:rPr>
      </w:pPr>
      <w:r w:rsidRPr="00CD35FB">
        <w:rPr>
          <w:i/>
          <w:lang w:eastAsia="en-US"/>
        </w:rPr>
        <w:t>Administering the existing management system. This can involve monitoring fishing licences, permits, vessel numbers and catch returns.</w:t>
      </w:r>
    </w:p>
    <w:p w:rsidR="00D03B78" w:rsidRDefault="00D03B78"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32</w:instrText>
      </w:r>
      <w:r>
        <w:fldChar w:fldCharType="end"/>
      </w:r>
      <w:r>
        <w:instrText>.</w:instrText>
      </w:r>
      <w:r>
        <w:tab/>
      </w:r>
      <w:r>
        <w:fldChar w:fldCharType="end"/>
      </w:r>
      <w:r>
        <w:t>This implies a narrow view of management expenditures that is limited to the administration of input and output controls, as well as access issues such as licencing.</w:t>
      </w:r>
    </w:p>
    <w:p w:rsidR="00D03B78" w:rsidRPr="00BF0B48" w:rsidRDefault="00D03B78"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33</w:instrText>
      </w:r>
      <w:r>
        <w:fldChar w:fldCharType="end"/>
      </w:r>
      <w:r>
        <w:instrText>.</w:instrText>
      </w:r>
      <w:r>
        <w:tab/>
      </w:r>
      <w:r>
        <w:fldChar w:fldCharType="end"/>
      </w:r>
      <w:r>
        <w:t xml:space="preserve">For the first item, stock assessments seem to clearly fall into its domain, though such assessments are sometimes made using resources that are shared with “research and development” activities. Item 2 is part of the policy development arm of the government agency. Item 3, “Administering the system” may not have a clear bureaucratic outline, especially in smaller agencies where staff share multiple responsibilities. </w:t>
      </w:r>
    </w:p>
    <w:p w:rsidR="00D03B78" w:rsidRDefault="00D03B78"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34</w:instrText>
      </w:r>
      <w:r>
        <w:fldChar w:fldCharType="end"/>
      </w:r>
      <w:r>
        <w:instrText>.</w:instrText>
      </w:r>
      <w:r>
        <w:tab/>
      </w:r>
      <w:r>
        <w:fldChar w:fldCharType="end"/>
      </w:r>
      <w:r>
        <w:t>The main practical question is how to draw the lines within the government bureaucracy and add up the expenses. Ancillary costs—from janitors to office supplies to building repairs—are considered overhead and should not be part of the calculated transfer.  Assembling a “management expenditures” figure from individual job descriptions seems overly complex; working with existing budgetary units could be more practical. For example, Sweden reports figures for three units: “</w:t>
      </w:r>
      <w:r w:rsidRPr="00BF0B48">
        <w:t xml:space="preserve">Management costs by the Swedish Board of </w:t>
      </w:r>
      <w:r>
        <w:t>Fisheries</w:t>
      </w:r>
      <w:r w:rsidRPr="00BF0B48">
        <w:t xml:space="preserve"> and the County Boards</w:t>
      </w:r>
      <w:r>
        <w:t>”, “</w:t>
      </w:r>
      <w:r w:rsidRPr="00BF0B48">
        <w:t>Management costs by the Swedish Agency for Marine and Water</w:t>
      </w:r>
      <w:r>
        <w:t xml:space="preserve"> </w:t>
      </w:r>
      <w:r w:rsidRPr="00BF0B48">
        <w:t>management</w:t>
      </w:r>
      <w:r>
        <w:t>”, and “</w:t>
      </w:r>
      <w:r w:rsidRPr="00BF0B48">
        <w:t>Management costs by the Swedish Board of Fisheries</w:t>
      </w:r>
      <w:r>
        <w:t xml:space="preserve">”. </w:t>
      </w:r>
    </w:p>
    <w:bookmarkStart w:id="157" w:name="_Toc370817952"/>
    <w:bookmarkStart w:id="158" w:name="_Toc370818000"/>
    <w:p w:rsidR="00D03B78" w:rsidRDefault="00D03B78" w:rsidP="006D2EA9">
      <w:pPr>
        <w:pStyle w:val="Num-DocParagraph"/>
      </w:pPr>
      <w:r>
        <w:rPr>
          <w:bCs/>
          <w:iCs/>
        </w:rPr>
        <w:fldChar w:fldCharType="begin"/>
      </w:r>
      <w:r>
        <w:rPr>
          <w:bCs/>
          <w:iCs/>
        </w:rPr>
        <w:instrText xml:space="preserve"> MACROBUTTON NUMBERING </w:instrText>
      </w:r>
      <w:r>
        <w:rPr>
          <w:bCs/>
          <w:iCs/>
        </w:rPr>
        <w:fldChar w:fldCharType="begin"/>
      </w:r>
      <w:r>
        <w:rPr>
          <w:bCs/>
          <w:iCs/>
        </w:rPr>
        <w:instrText xml:space="preserve"> SEQ  dpara</w:instrText>
      </w:r>
      <w:r>
        <w:rPr>
          <w:bCs/>
          <w:iCs/>
        </w:rPr>
        <w:fldChar w:fldCharType="separate"/>
      </w:r>
      <w:r w:rsidR="0042183E">
        <w:rPr>
          <w:bCs/>
          <w:iCs/>
          <w:noProof/>
        </w:rPr>
        <w:instrText>35</w:instrText>
      </w:r>
      <w:r>
        <w:rPr>
          <w:bCs/>
          <w:iCs/>
        </w:rPr>
        <w:fldChar w:fldCharType="end"/>
      </w:r>
      <w:r>
        <w:rPr>
          <w:bCs/>
          <w:iCs/>
        </w:rPr>
        <w:instrText>.</w:instrText>
      </w:r>
      <w:r>
        <w:rPr>
          <w:bCs/>
          <w:iCs/>
        </w:rPr>
        <w:tab/>
      </w:r>
      <w:r>
        <w:rPr>
          <w:bCs/>
          <w:iCs/>
        </w:rPr>
        <w:fldChar w:fldCharType="end"/>
      </w:r>
      <w:r w:rsidRPr="005C2228">
        <w:rPr>
          <w:bCs/>
          <w:iCs/>
        </w:rPr>
        <w:t xml:space="preserve">The </w:t>
      </w:r>
      <w:r w:rsidRPr="005C2228">
        <w:rPr>
          <w:b/>
          <w:bCs/>
          <w:i/>
          <w:iCs/>
        </w:rPr>
        <w:t>Miscellaneous</w:t>
      </w:r>
      <w:bookmarkEnd w:id="157"/>
      <w:bookmarkEnd w:id="158"/>
      <w:r w:rsidRPr="005C2228">
        <w:rPr>
          <w:b/>
          <w:bCs/>
          <w:i/>
          <w:iCs/>
        </w:rPr>
        <w:t xml:space="preserve"> </w:t>
      </w:r>
      <w:r w:rsidRPr="005C2228">
        <w:t xml:space="preserve">category includes budgetary expenditure that finances other general services that cannot be disaggregated and allocated to one of the above categories, usually due to lack of information. All efforts should be made to obtain more information to allow for an accurate classification into one of the above categories. </w:t>
      </w:r>
    </w:p>
    <w:p w:rsidR="00D03B78" w:rsidRPr="009D1F8E" w:rsidRDefault="00D03B78" w:rsidP="006D2EA9">
      <w:pPr>
        <w:pStyle w:val="Heading2"/>
        <w:spacing w:before="0"/>
        <w:rPr>
          <w:sz w:val="21"/>
          <w:szCs w:val="21"/>
        </w:rPr>
      </w:pPr>
      <w:bookmarkStart w:id="159" w:name="_Toc435460619"/>
      <w:bookmarkStart w:id="160" w:name="_Toc445973524"/>
      <w:r w:rsidRPr="009D1F8E">
        <w:rPr>
          <w:sz w:val="21"/>
          <w:szCs w:val="21"/>
        </w:rPr>
        <w:t>3.</w:t>
      </w:r>
      <w:r w:rsidR="00B02DA6">
        <w:rPr>
          <w:sz w:val="21"/>
          <w:szCs w:val="21"/>
        </w:rPr>
        <w:t>3</w:t>
      </w:r>
      <w:r w:rsidRPr="009D1F8E">
        <w:rPr>
          <w:sz w:val="21"/>
          <w:szCs w:val="21"/>
        </w:rPr>
        <w:t>.</w:t>
      </w:r>
      <w:r w:rsidRPr="009D1F8E">
        <w:rPr>
          <w:sz w:val="21"/>
          <w:szCs w:val="21"/>
        </w:rPr>
        <w:tab/>
        <w:t>Classifying cost-recovery items</w:t>
      </w:r>
      <w:bookmarkEnd w:id="159"/>
      <w:bookmarkEnd w:id="160"/>
    </w:p>
    <w:p w:rsidR="00D03B78" w:rsidRDefault="00D03B78"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36</w:instrText>
      </w:r>
      <w:r>
        <w:fldChar w:fldCharType="end"/>
      </w:r>
      <w:r>
        <w:instrText>.</w:instrText>
      </w:r>
      <w:r>
        <w:tab/>
      </w:r>
      <w:r>
        <w:fldChar w:fldCharType="end"/>
      </w:r>
      <w:r>
        <w:t xml:space="preserve">Many of the policies reported in the </w:t>
      </w:r>
      <w:r w:rsidR="006311B1">
        <w:t>FSE</w:t>
      </w:r>
      <w:r>
        <w:t xml:space="preserve"> are subject to some form of cost sharing or cost recovery from fishers that benefit from them. In keeping with the gross transfer definition of the FSE, these charges, fees or other forms of payment from fishers to the government are not deducted directly from the corresponding policy but are identified separately. There are </w:t>
      </w:r>
      <w:r w:rsidR="006311B1">
        <w:t>five</w:t>
      </w:r>
      <w:r>
        <w:t xml:space="preserve"> different cost-recovery categories, covering mainly fishing access, infrastructure and management (Box 3.</w:t>
      </w:r>
      <w:r w:rsidR="00B02DA6">
        <w:t>3</w:t>
      </w:r>
      <w:r>
        <w:t>).</w:t>
      </w:r>
      <w:r w:rsidR="006311B1">
        <w:t xml:space="preserve"> </w:t>
      </w:r>
      <w:r w:rsidR="00B02DA6">
        <w:t>Two</w:t>
      </w:r>
      <w:r w:rsidR="006311B1">
        <w:t xml:space="preserve"> of these are general in nature </w:t>
      </w:r>
      <w:r w:rsidR="00B02DA6">
        <w:t xml:space="preserve">(III.B and C) and two </w:t>
      </w:r>
      <w:r w:rsidR="006311B1">
        <w:t>(</w:t>
      </w:r>
      <w:r w:rsidR="00B02DA6">
        <w:t>III.A and D) are</w:t>
      </w:r>
      <w:r w:rsidR="006311B1">
        <w:t xml:space="preserve"> individual cost recovery item</w:t>
      </w:r>
      <w:r w:rsidR="00B02DA6">
        <w:t>s</w:t>
      </w:r>
      <w:r w:rsidR="006311B1">
        <w:t>.</w:t>
      </w:r>
      <w:r>
        <w:t xml:space="preserve"> </w:t>
      </w:r>
      <w:r w:rsidR="00F644AE">
        <w:t>As usual,</w:t>
      </w:r>
      <w:r w:rsidRPr="00392F61">
        <w:t xml:space="preserve"> the implementation criteria</w:t>
      </w:r>
      <w:r w:rsidR="00F644AE">
        <w:t xml:space="preserve"> determine the classification</w:t>
      </w:r>
      <w:r w:rsidRPr="00392F61">
        <w:t xml:space="preserve">. That is, the basis of the </w:t>
      </w:r>
      <w:r w:rsidR="00F644AE">
        <w:t xml:space="preserve">cost-recovery </w:t>
      </w:r>
      <w:r w:rsidRPr="00392F61">
        <w:t>charge</w:t>
      </w:r>
      <w:r>
        <w:t xml:space="preserve"> takes precedence in the classification over</w:t>
      </w:r>
      <w:r w:rsidRPr="00392F61">
        <w:t xml:space="preserve"> the use of the received funds.</w:t>
      </w:r>
    </w:p>
    <w:p w:rsidR="00D03B78" w:rsidRPr="009D1F8E" w:rsidRDefault="00D03B78" w:rsidP="006D2EA9">
      <w:pPr>
        <w:pStyle w:val="TextBoxHeading"/>
        <w:pBdr>
          <w:top w:val="single" w:sz="6" w:space="1" w:color="4F81BD"/>
          <w:left w:val="single" w:sz="6" w:space="0" w:color="4F81BD"/>
          <w:bottom w:val="single" w:sz="6" w:space="1" w:color="4F81BD"/>
          <w:right w:val="single" w:sz="6" w:space="1" w:color="4F81BD"/>
        </w:pBdr>
        <w:shd w:val="clear" w:color="auto" w:fill="F7FFFF"/>
        <w:rPr>
          <w:sz w:val="17"/>
          <w:szCs w:val="17"/>
        </w:rPr>
      </w:pPr>
      <w:bookmarkStart w:id="161" w:name="_Toc432151242"/>
      <w:bookmarkStart w:id="162" w:name="_Toc445908268"/>
      <w:r w:rsidRPr="009D1F8E">
        <w:rPr>
          <w:sz w:val="17"/>
          <w:szCs w:val="17"/>
        </w:rPr>
        <w:t>Box 3.</w:t>
      </w:r>
      <w:r w:rsidR="00B02DA6">
        <w:rPr>
          <w:sz w:val="17"/>
          <w:szCs w:val="17"/>
        </w:rPr>
        <w:t>3</w:t>
      </w:r>
      <w:r w:rsidRPr="009D1F8E">
        <w:rPr>
          <w:sz w:val="17"/>
          <w:szCs w:val="17"/>
        </w:rPr>
        <w:t>. Names and definitions for cost-recovery charges</w:t>
      </w:r>
      <w:bookmarkEnd w:id="161"/>
      <w:bookmarkEnd w:id="162"/>
    </w:p>
    <w:p w:rsidR="00D03B78" w:rsidRPr="009E6820"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spacing w:after="120"/>
        <w:ind w:left="851" w:hanging="851"/>
        <w:rPr>
          <w:sz w:val="17"/>
          <w:szCs w:val="17"/>
        </w:rPr>
      </w:pPr>
      <w:r>
        <w:rPr>
          <w:sz w:val="17"/>
          <w:szCs w:val="17"/>
        </w:rPr>
        <w:t>III. Cost-</w:t>
      </w:r>
      <w:r w:rsidRPr="009E6820">
        <w:rPr>
          <w:sz w:val="17"/>
          <w:szCs w:val="17"/>
        </w:rPr>
        <w:t>recovery charges: management costs that are recouped by governments through levies, in whole or in part.</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tabs>
          <w:tab w:val="clear" w:pos="850"/>
          <w:tab w:val="left" w:pos="-1701"/>
        </w:tabs>
        <w:spacing w:after="120"/>
        <w:ind w:left="567" w:hanging="567"/>
        <w:rPr>
          <w:sz w:val="17"/>
          <w:szCs w:val="17"/>
        </w:rPr>
      </w:pPr>
      <w:r>
        <w:rPr>
          <w:sz w:val="17"/>
          <w:szCs w:val="17"/>
        </w:rPr>
        <w:tab/>
      </w:r>
      <w:r w:rsidRPr="00F9768E">
        <w:rPr>
          <w:sz w:val="17"/>
          <w:szCs w:val="17"/>
        </w:rPr>
        <w:t>III.A. For resource access right: charges levied to grant access to a resource</w:t>
      </w:r>
      <w:r>
        <w:rPr>
          <w:sz w:val="17"/>
          <w:szCs w:val="17"/>
        </w:rPr>
        <w:t xml:space="preserve">, including </w:t>
      </w:r>
      <w:r w:rsidRPr="00AB53F0">
        <w:rPr>
          <w:sz w:val="17"/>
          <w:szCs w:val="17"/>
        </w:rPr>
        <w:t>license fees, cost of permits and other formalities</w:t>
      </w:r>
      <w:r w:rsidRPr="00F9768E">
        <w:rPr>
          <w:sz w:val="17"/>
          <w:szCs w:val="17"/>
        </w:rPr>
        <w:t>.</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tabs>
          <w:tab w:val="clear" w:pos="850"/>
          <w:tab w:val="left" w:pos="-1701"/>
        </w:tabs>
        <w:spacing w:after="120"/>
        <w:ind w:left="567" w:hanging="567"/>
        <w:rPr>
          <w:sz w:val="17"/>
          <w:szCs w:val="17"/>
        </w:rPr>
      </w:pPr>
      <w:r>
        <w:rPr>
          <w:sz w:val="17"/>
          <w:szCs w:val="17"/>
        </w:rPr>
        <w:tab/>
      </w:r>
      <w:r w:rsidRPr="00F9768E">
        <w:rPr>
          <w:sz w:val="17"/>
          <w:szCs w:val="17"/>
        </w:rPr>
        <w:t>III.B. To access infrastructure: charges levied to</w:t>
      </w:r>
      <w:r>
        <w:rPr>
          <w:sz w:val="17"/>
          <w:szCs w:val="17"/>
        </w:rPr>
        <w:t xml:space="preserve"> grant access to infrastructure such as harbour fees and other user charges for government-provided infrastructure.</w:t>
      </w:r>
    </w:p>
    <w:p w:rsidR="00D03B78"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tabs>
          <w:tab w:val="clear" w:pos="850"/>
          <w:tab w:val="left" w:pos="-1701"/>
        </w:tabs>
        <w:spacing w:after="120"/>
        <w:ind w:left="567" w:hanging="567"/>
        <w:rPr>
          <w:sz w:val="17"/>
          <w:szCs w:val="17"/>
        </w:rPr>
      </w:pPr>
      <w:r>
        <w:rPr>
          <w:sz w:val="17"/>
          <w:szCs w:val="17"/>
        </w:rPr>
        <w:tab/>
      </w:r>
      <w:r w:rsidRPr="00F9768E">
        <w:rPr>
          <w:sz w:val="17"/>
          <w:szCs w:val="17"/>
        </w:rPr>
        <w:t>III.C. For management, research and enforcement: charges levied to finance management, research and enforcement expenditures, or fines levied in case of infraction.</w:t>
      </w:r>
      <w:r>
        <w:rPr>
          <w:sz w:val="17"/>
          <w:szCs w:val="17"/>
        </w:rPr>
        <w:t xml:space="preserve"> </w:t>
      </w:r>
    </w:p>
    <w:p w:rsidR="00F644AE" w:rsidRPr="00F644AE" w:rsidRDefault="00F644AE" w:rsidP="006D2EA9">
      <w:pPr>
        <w:pStyle w:val="TextBox"/>
        <w:pBdr>
          <w:top w:val="single" w:sz="6" w:space="1" w:color="4F81BD"/>
          <w:left w:val="single" w:sz="6" w:space="0" w:color="4F81BD"/>
          <w:bottom w:val="single" w:sz="6" w:space="1" w:color="4F81BD"/>
          <w:right w:val="single" w:sz="6" w:space="1" w:color="4F81BD"/>
        </w:pBdr>
        <w:shd w:val="clear" w:color="auto" w:fill="F7FFFF"/>
        <w:tabs>
          <w:tab w:val="clear" w:pos="850"/>
          <w:tab w:val="left" w:pos="-1701"/>
        </w:tabs>
        <w:spacing w:after="120"/>
        <w:ind w:left="567" w:hanging="567"/>
        <w:rPr>
          <w:sz w:val="17"/>
          <w:szCs w:val="17"/>
        </w:rPr>
      </w:pPr>
      <w:r>
        <w:rPr>
          <w:sz w:val="17"/>
          <w:szCs w:val="17"/>
        </w:rPr>
        <w:lastRenderedPageBreak/>
        <w:tab/>
        <w:t>III.D Resource rent taxes and charges: Fees, taxes or payments collected from individual fishers according to the resource rents generated by fishing activities (profit taxes and similar).</w:t>
      </w:r>
    </w:p>
    <w:p w:rsidR="00D03B78" w:rsidRPr="00F9768E" w:rsidRDefault="00D03B78" w:rsidP="006D2EA9">
      <w:pPr>
        <w:pStyle w:val="TextBox"/>
        <w:pBdr>
          <w:top w:val="single" w:sz="6" w:space="1" w:color="4F81BD"/>
          <w:left w:val="single" w:sz="6" w:space="0" w:color="4F81BD"/>
          <w:bottom w:val="single" w:sz="6" w:space="1" w:color="4F81BD"/>
          <w:right w:val="single" w:sz="6" w:space="1" w:color="4F81BD"/>
        </w:pBdr>
        <w:shd w:val="clear" w:color="auto" w:fill="F7FFFF"/>
        <w:tabs>
          <w:tab w:val="clear" w:pos="850"/>
          <w:tab w:val="left" w:pos="-1701"/>
        </w:tabs>
        <w:spacing w:after="120"/>
        <w:ind w:left="567" w:hanging="567"/>
        <w:rPr>
          <w:sz w:val="17"/>
          <w:szCs w:val="17"/>
        </w:rPr>
      </w:pPr>
      <w:r>
        <w:rPr>
          <w:sz w:val="17"/>
          <w:szCs w:val="17"/>
        </w:rPr>
        <w:tab/>
      </w:r>
      <w:r w:rsidRPr="00F9768E">
        <w:rPr>
          <w:sz w:val="17"/>
          <w:szCs w:val="17"/>
        </w:rPr>
        <w:t>III.</w:t>
      </w:r>
      <w:r w:rsidR="00F644AE">
        <w:rPr>
          <w:sz w:val="17"/>
          <w:szCs w:val="17"/>
        </w:rPr>
        <w:t>E</w:t>
      </w:r>
      <w:r w:rsidRPr="00F9768E">
        <w:rPr>
          <w:sz w:val="17"/>
          <w:szCs w:val="17"/>
        </w:rPr>
        <w:t>. Other: other charges levied for which there is insufficient information to allocate them to appropriate categories.</w:t>
      </w:r>
    </w:p>
    <w:p w:rsidR="00D03B78" w:rsidRPr="00AB53F0" w:rsidRDefault="00D03B78"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37</w:instrText>
      </w:r>
      <w:r>
        <w:fldChar w:fldCharType="end"/>
      </w:r>
      <w:r>
        <w:instrText>.</w:instrText>
      </w:r>
      <w:r>
        <w:tab/>
      </w:r>
      <w:r>
        <w:fldChar w:fldCharType="end"/>
      </w:r>
      <w:r w:rsidRPr="00AB53F0">
        <w:t>Fishers sometimes must pay fines or other regulatory penalties; these are not considered cost-recovery charges for the purposes of the FSE. Application fees for budgetary programmes may be included. There is no specific cos</w:t>
      </w:r>
      <w:r>
        <w:t>t-</w:t>
      </w:r>
      <w:r w:rsidRPr="00AB53F0">
        <w:t xml:space="preserve">recovery category for such fees; they could appear in III A, B or D depending on the nature of the programme. If application fees are reported in significant amounts a specific category could be added. The supporting data for such fees should clearly indicate with which programme they are connected, as carrying out a net cost accounting would be the obvious use of such data, and doing so at the programme level gives the most flexibility and utility. </w:t>
      </w:r>
    </w:p>
    <w:p w:rsidR="00D03B78" w:rsidRPr="00F62FE1" w:rsidRDefault="00D03B78" w:rsidP="006D2EA9">
      <w:pPr>
        <w:pStyle w:val="Num-DocParagraph"/>
      </w:pPr>
    </w:p>
    <w:p w:rsidR="00D03B78" w:rsidRPr="00F62FE1" w:rsidRDefault="00D03B78" w:rsidP="006D2EA9">
      <w:pPr>
        <w:pStyle w:val="Num-DocParagraph"/>
      </w:pPr>
    </w:p>
    <w:p w:rsidR="00FB71B5" w:rsidRDefault="00D03B78" w:rsidP="0042415E">
      <w:pPr>
        <w:pStyle w:val="BodyText"/>
      </w:pPr>
      <w:r>
        <w:br w:type="page"/>
      </w:r>
    </w:p>
    <w:p w:rsidR="00FB71B5" w:rsidRDefault="00FB71B5" w:rsidP="00FB71B5">
      <w:pPr>
        <w:pStyle w:val="BodyText"/>
      </w:pPr>
    </w:p>
    <w:p w:rsidR="00D03B78" w:rsidRPr="00FB71B5" w:rsidRDefault="00FB71B5" w:rsidP="00FB71B5">
      <w:pPr>
        <w:pStyle w:val="Heading1"/>
      </w:pPr>
      <w:r>
        <w:fldChar w:fldCharType="begin"/>
      </w:r>
      <w:r>
        <w:instrText xml:space="preserve"> MACROBUTTON NUMBERING </w:instrText>
      </w:r>
      <w:r>
        <w:fldChar w:fldCharType="begin"/>
      </w:r>
      <w:r>
        <w:instrText xml:space="preserve"> SEQ  cpara \h \r 0</w:instrText>
      </w:r>
      <w:r>
        <w:fldChar w:fldCharType="end"/>
      </w:r>
      <w:r>
        <w:fldChar w:fldCharType="begin"/>
      </w:r>
      <w:r>
        <w:instrText xml:space="preserve"> SEQ  ccount \h</w:instrText>
      </w:r>
      <w:r>
        <w:fldChar w:fldCharType="end"/>
      </w:r>
      <w:bookmarkStart w:id="163" w:name="_Toc435460620"/>
      <w:bookmarkStart w:id="164" w:name="_Toc445973525"/>
      <w:r>
        <w:fldChar w:fldCharType="end"/>
      </w:r>
      <w:r w:rsidR="00D03B78" w:rsidRPr="00FB71B5">
        <w:t>Chapter 4</w:t>
      </w:r>
      <w:r w:rsidR="00D03B78" w:rsidRPr="00FB71B5">
        <w:br/>
      </w:r>
      <w:r w:rsidR="00D03B78" w:rsidRPr="00FB71B5">
        <w:br/>
      </w:r>
      <w:bookmarkStart w:id="165" w:name="_Toc172637672"/>
      <w:bookmarkStart w:id="166" w:name="_Toc172718562"/>
      <w:bookmarkStart w:id="167" w:name="_Toc176623268"/>
      <w:bookmarkStart w:id="168" w:name="_Toc176630015"/>
      <w:bookmarkStart w:id="169" w:name="_Toc178591994"/>
      <w:bookmarkStart w:id="170" w:name="_Toc203897785"/>
      <w:bookmarkStart w:id="171" w:name="_Toc203898459"/>
      <w:bookmarkStart w:id="172" w:name="_Toc272931566"/>
      <w:bookmarkStart w:id="173" w:name="_Toc273007868"/>
      <w:bookmarkStart w:id="174" w:name="_Toc361730708"/>
      <w:r w:rsidR="00884457">
        <w:t>Fuel price differentials</w:t>
      </w:r>
      <w:bookmarkEnd w:id="163"/>
      <w:bookmarkEnd w:id="164"/>
    </w:p>
    <w:bookmarkEnd w:id="165"/>
    <w:bookmarkEnd w:id="166"/>
    <w:bookmarkEnd w:id="167"/>
    <w:bookmarkEnd w:id="168"/>
    <w:bookmarkEnd w:id="169"/>
    <w:bookmarkEnd w:id="170"/>
    <w:bookmarkEnd w:id="171"/>
    <w:bookmarkEnd w:id="172"/>
    <w:bookmarkEnd w:id="173"/>
    <w:bookmarkEnd w:id="174"/>
    <w:p w:rsidR="00C56BA4" w:rsidRDefault="00C56BA4" w:rsidP="00C56BA4">
      <w:pPr>
        <w:pStyle w:val="Num-DocParagraph"/>
        <w:rPr>
          <w:lang w:eastAsia="en-US"/>
        </w:rPr>
      </w:pPr>
      <w:r>
        <w:rPr>
          <w:lang w:eastAsia="en-US"/>
        </w:rPr>
        <w:fldChar w:fldCharType="begin"/>
      </w:r>
      <w:r>
        <w:rPr>
          <w:lang w:eastAsia="en-US"/>
        </w:rPr>
        <w:instrText xml:space="preserve"> MACROBUTTON NUMBERING </w:instrText>
      </w:r>
      <w:r>
        <w:rPr>
          <w:lang w:eastAsia="en-US"/>
        </w:rPr>
        <w:fldChar w:fldCharType="begin"/>
      </w:r>
      <w:r>
        <w:rPr>
          <w:lang w:eastAsia="en-US"/>
        </w:rPr>
        <w:instrText xml:space="preserve"> SEQ  dpara</w:instrText>
      </w:r>
      <w:r>
        <w:rPr>
          <w:lang w:eastAsia="en-US"/>
        </w:rPr>
        <w:fldChar w:fldCharType="separate"/>
      </w:r>
      <w:r w:rsidR="0042183E">
        <w:rPr>
          <w:noProof/>
          <w:lang w:eastAsia="en-US"/>
        </w:rPr>
        <w:instrText>38</w:instrText>
      </w:r>
      <w:r>
        <w:rPr>
          <w:lang w:eastAsia="en-US"/>
        </w:rPr>
        <w:fldChar w:fldCharType="end"/>
      </w:r>
      <w:r>
        <w:rPr>
          <w:lang w:eastAsia="en-US"/>
        </w:rPr>
        <w:instrText>.</w:instrText>
      </w:r>
      <w:r>
        <w:rPr>
          <w:lang w:eastAsia="en-US"/>
        </w:rPr>
        <w:tab/>
      </w:r>
      <w:r>
        <w:rPr>
          <w:lang w:eastAsia="en-US"/>
        </w:rPr>
        <w:fldChar w:fldCharType="end"/>
      </w:r>
      <w:r>
        <w:rPr>
          <w:lang w:eastAsia="en-US"/>
        </w:rPr>
        <w:t xml:space="preserve">Support to fuel use has been of particular interest owing to the connection to climate change and non-renewable resource use. Since the Group of Twenty (G-20) Pittsburgh agreement </w:t>
      </w:r>
      <w:r w:rsidR="00111D21">
        <w:rPr>
          <w:lang w:eastAsia="en-US"/>
        </w:rPr>
        <w:t xml:space="preserve">in 2009 </w:t>
      </w:r>
      <w:r>
        <w:rPr>
          <w:lang w:eastAsia="en-US"/>
        </w:rPr>
        <w:t xml:space="preserve">to “phase out and rationalise over the medium term inefficient fossil fuel subsidies </w:t>
      </w:r>
      <w:r w:rsidR="00111D21">
        <w:rPr>
          <w:lang w:eastAsia="en-US"/>
        </w:rPr>
        <w:t>…</w:t>
      </w:r>
      <w:r>
        <w:rPr>
          <w:lang w:eastAsia="en-US"/>
        </w:rPr>
        <w:t>” support to fuel use has been in the work programme of the COFI, first with a study of fuel tax concessions [</w:t>
      </w:r>
      <w:hyperlink r:id="rId16" w:history="1">
        <w:r w:rsidRPr="00E3190F">
          <w:rPr>
            <w:rStyle w:val="Hyperlink"/>
            <w:lang w:eastAsia="en-US"/>
          </w:rPr>
          <w:t>TAD/FI(2010)8</w:t>
        </w:r>
      </w:hyperlink>
      <w:r>
        <w:rPr>
          <w:lang w:eastAsia="en-US"/>
        </w:rPr>
        <w:t>] and later in work on energy use in fisheries [</w:t>
      </w:r>
      <w:hyperlink r:id="rId17" w:history="1">
        <w:r w:rsidRPr="00E3190F">
          <w:rPr>
            <w:rStyle w:val="Hyperlink"/>
            <w:lang w:eastAsia="en-US"/>
          </w:rPr>
          <w:t>TAD/FI(2012)2</w:t>
        </w:r>
      </w:hyperlink>
      <w:r>
        <w:rPr>
          <w:lang w:eastAsia="en-US"/>
        </w:rPr>
        <w:t>]. The objectives of the COFI were described at the 104th session to produce:</w:t>
      </w:r>
    </w:p>
    <w:p w:rsidR="00C56BA4" w:rsidRPr="00C56BA4" w:rsidRDefault="00C56BA4" w:rsidP="00C56BA4">
      <w:pPr>
        <w:pStyle w:val="ListBullet"/>
        <w:rPr>
          <w:lang w:eastAsia="en-US"/>
        </w:rPr>
      </w:pPr>
      <w:r w:rsidRPr="00C56BA4">
        <w:rPr>
          <w:lang w:eastAsia="en-US"/>
        </w:rPr>
        <w:t xml:space="preserve">an approximation of the value of government transfers related to </w:t>
      </w:r>
      <w:r w:rsidR="006D1C3C">
        <w:rPr>
          <w:lang w:eastAsia="en-US"/>
        </w:rPr>
        <w:t xml:space="preserve">fossil </w:t>
      </w:r>
      <w:r w:rsidRPr="00C56BA4">
        <w:rPr>
          <w:lang w:eastAsia="en-US"/>
        </w:rPr>
        <w:t>fuel use for fishing fleets in OECD Member countries, as well as non-member economies where data was made available.</w:t>
      </w:r>
    </w:p>
    <w:p w:rsidR="00C56BA4" w:rsidRDefault="00C56BA4" w:rsidP="00C56BA4">
      <w:pPr>
        <w:pStyle w:val="ListBullet"/>
      </w:pPr>
      <w:r>
        <w:rPr>
          <w:lang w:eastAsia="en-US"/>
        </w:rPr>
        <w:t>an initial assessment of the impacts of such support and the implications for the fishing industry of phasing them out.</w:t>
      </w:r>
    </w:p>
    <w:p w:rsidR="00C56BA4" w:rsidRPr="00C56BA4" w:rsidRDefault="00C56BA4" w:rsidP="00B36AEE">
      <w:pPr>
        <w:pStyle w:val="BodyText"/>
        <w:ind w:firstLine="0"/>
      </w:pPr>
      <w:r>
        <w:t>This work on measuring and assessing fuel support is now done as part of the lar</w:t>
      </w:r>
      <w:r w:rsidR="00AC0669">
        <w:t>ger FSE exercise.</w:t>
      </w:r>
    </w:p>
    <w:p w:rsidR="00C17578" w:rsidRDefault="00C17578" w:rsidP="00C17578">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39</w:instrText>
      </w:r>
      <w:r>
        <w:fldChar w:fldCharType="end"/>
      </w:r>
      <w:r>
        <w:instrText>.</w:instrText>
      </w:r>
      <w:r>
        <w:tab/>
      </w:r>
      <w:r>
        <w:fldChar w:fldCharType="end"/>
      </w:r>
      <w:r w:rsidR="00355638" w:rsidRPr="00C56BA4">
        <w:t xml:space="preserve">Many policies may impact the price of fuel paid by fishers. Some of these may be targeted and sector-specific while others may be part of a broader energy policy that differentiates between different types of fuel users (treating resource-based sectors as a group, for example). Another case is where the price paid by retail consumers (automobile owners) is subject to an excise tax </w:t>
      </w:r>
      <w:r w:rsidR="006D1C3C">
        <w:t xml:space="preserve">that governments explain is </w:t>
      </w:r>
      <w:r w:rsidR="00355638" w:rsidRPr="00C56BA4">
        <w:t>directed at road infrastructure</w:t>
      </w:r>
      <w:r w:rsidR="006D1C3C">
        <w:t xml:space="preserve"> and where</w:t>
      </w:r>
      <w:r w:rsidR="00F81646" w:rsidRPr="00C56BA4">
        <w:t xml:space="preserve"> fuel purchased for off-road use is not subject to the same tax</w:t>
      </w:r>
      <w:r w:rsidR="00355638" w:rsidRPr="00C56BA4">
        <w:t xml:space="preserve">. </w:t>
      </w:r>
    </w:p>
    <w:p w:rsidR="00C17578" w:rsidRDefault="00C17578" w:rsidP="00C17578">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40</w:instrText>
      </w:r>
      <w:r>
        <w:fldChar w:fldCharType="end"/>
      </w:r>
      <w:r>
        <w:instrText>.</w:instrText>
      </w:r>
      <w:r>
        <w:tab/>
      </w:r>
      <w:r>
        <w:fldChar w:fldCharType="end"/>
      </w:r>
      <w:r w:rsidR="00AE2C56" w:rsidRPr="00C17578">
        <w:t>In the FSE, the value of transfers arising from price differentials for fuel is</w:t>
      </w:r>
      <w:r w:rsidRPr="00C17578">
        <w:t xml:space="preserve"> only</w:t>
      </w:r>
      <w:r w:rsidR="00AE2C56" w:rsidRPr="00C17578">
        <w:t xml:space="preserve"> included in the database </w:t>
      </w:r>
      <w:r w:rsidR="00AC0669" w:rsidRPr="00C17578">
        <w:t xml:space="preserve">when there is a </w:t>
      </w:r>
      <w:r w:rsidR="00D4279B" w:rsidRPr="00C17578">
        <w:t>policy (such as a specific rate of tax exemption) where fishers are the sole or main b</w:t>
      </w:r>
      <w:r w:rsidRPr="00C17578">
        <w:t>eneficiary (P</w:t>
      </w:r>
      <w:r w:rsidR="00D4279B" w:rsidRPr="00C17578">
        <w:t xml:space="preserve">rinciple </w:t>
      </w:r>
      <w:r w:rsidR="00B36AEE">
        <w:t>1</w:t>
      </w:r>
      <w:r w:rsidR="00D4279B" w:rsidRPr="00C17578">
        <w:t>)</w:t>
      </w:r>
      <w:r w:rsidR="00AE2C56" w:rsidRPr="00C17578">
        <w:t xml:space="preserve">. </w:t>
      </w:r>
      <w:r>
        <w:t xml:space="preserve">In practice, this means that two conditions must be </w:t>
      </w:r>
      <w:r w:rsidR="004D2150">
        <w:t>met for inclusion</w:t>
      </w:r>
      <w:r>
        <w:t>:</w:t>
      </w:r>
    </w:p>
    <w:p w:rsidR="00C17578" w:rsidRDefault="004D2150" w:rsidP="00C17578">
      <w:pPr>
        <w:pStyle w:val="ListNumber"/>
        <w:numPr>
          <w:ilvl w:val="0"/>
          <w:numId w:val="36"/>
        </w:numPr>
      </w:pPr>
      <w:r>
        <w:t>A</w:t>
      </w:r>
      <w:r w:rsidR="00C17578">
        <w:t xml:space="preserve"> </w:t>
      </w:r>
      <w:r w:rsidR="00C17578" w:rsidRPr="00C17578">
        <w:rPr>
          <w:b/>
        </w:rPr>
        <w:t>necessary</w:t>
      </w:r>
      <w:r w:rsidR="00C17578">
        <w:t xml:space="preserve"> condition </w:t>
      </w:r>
      <w:r>
        <w:t>is that the relevant tax legislation must clearly identify fishers or the fisheries sector as a beneficiary of the tax policy</w:t>
      </w:r>
      <w:r w:rsidR="00FC54F2">
        <w:t xml:space="preserve"> (specificity)</w:t>
      </w:r>
      <w:r>
        <w:t>.</w:t>
      </w:r>
    </w:p>
    <w:p w:rsidR="004D2150" w:rsidRDefault="004D2150" w:rsidP="00C17578">
      <w:pPr>
        <w:pStyle w:val="ListNumber"/>
        <w:numPr>
          <w:ilvl w:val="0"/>
          <w:numId w:val="36"/>
        </w:numPr>
      </w:pPr>
      <w:r>
        <w:t xml:space="preserve">If (1) is true, then a </w:t>
      </w:r>
      <w:r w:rsidR="00B36AEE">
        <w:t xml:space="preserve">further </w:t>
      </w:r>
      <w:r w:rsidRPr="004D2150">
        <w:rPr>
          <w:b/>
        </w:rPr>
        <w:t>sufficient</w:t>
      </w:r>
      <w:r>
        <w:t xml:space="preserve"> condition is that the rate of tax exemption identified for fisheries in the legislation is different from that of most other industrial users</w:t>
      </w:r>
      <w:r w:rsidR="00FC54F2">
        <w:t xml:space="preserve"> (distinctness)</w:t>
      </w:r>
      <w:r>
        <w:t>.</w:t>
      </w:r>
    </w:p>
    <w:p w:rsidR="00D47D15" w:rsidRPr="004D2150" w:rsidRDefault="004D2150" w:rsidP="004D2150">
      <w:pPr>
        <w:pStyle w:val="BodyText"/>
        <w:ind w:firstLine="0"/>
      </w:pPr>
      <w:r>
        <w:t>These conditions ensure that an included policy is both sector-specific and provides a differential benefit not received by a substantial amount of other users</w:t>
      </w:r>
      <w:r w:rsidR="00D47D15">
        <w:t xml:space="preserve"> (Box 4.1)</w:t>
      </w:r>
      <w:r>
        <w:t>. This does not mean that other industrial users such as agriculture, forestry or mining must not receive tax exemptions, just that the rate of exemption be different for fishers than for these other sectors. Tax systems are often complicated and the</w:t>
      </w:r>
      <w:r w:rsidR="00D47D15">
        <w:t>re may be a number of</w:t>
      </w:r>
      <w:r>
        <w:t xml:space="preserve"> fuel excise tax rate</w:t>
      </w:r>
      <w:r w:rsidR="00D47D15">
        <w:t>s</w:t>
      </w:r>
      <w:r>
        <w:t xml:space="preserve"> faced</w:t>
      </w:r>
      <w:r w:rsidR="00D47D15">
        <w:t xml:space="preserve"> by different users according to fuel grade, nature of use (propulsion, heating, or industrial process), or user (fishers, miners, farmers, high or low income household). </w:t>
      </w:r>
      <w:r w:rsidR="00146F24">
        <w:t xml:space="preserve">The </w:t>
      </w:r>
      <w:r w:rsidR="00B36AEE">
        <w:t>size</w:t>
      </w:r>
      <w:r w:rsidR="00146F24">
        <w:t xml:space="preserve"> of these other tax rates is</w:t>
      </w:r>
      <w:r w:rsidR="00D47D15">
        <w:t xml:space="preserve"> not relevant in determining the inclusion of a policy in the FSE or the estimated transfer it generates</w:t>
      </w:r>
      <w:r w:rsidR="00146F24">
        <w:t>, except insofar as they are different from the rate faced by fishers</w:t>
      </w:r>
      <w:r w:rsidR="00D47D15">
        <w: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684"/>
      </w:tblGrid>
      <w:tr w:rsidR="00D47D15" w:rsidRPr="00FD4DC9" w:rsidTr="00D47D15">
        <w:tc>
          <w:tcPr>
            <w:tcW w:w="9684" w:type="dxa"/>
            <w:shd w:val="clear" w:color="auto" w:fill="auto"/>
          </w:tcPr>
          <w:p w:rsidR="00D47D15" w:rsidRDefault="000F5C4E" w:rsidP="00D47D15">
            <w:pPr>
              <w:pStyle w:val="BoxHeading"/>
            </w:pPr>
            <w:bookmarkStart w:id="175" w:name="_Toc445908269"/>
            <w:r>
              <w:lastRenderedPageBreak/>
              <w:t xml:space="preserve">Box 4.1. </w:t>
            </w:r>
            <w:r w:rsidR="00D47D15">
              <w:t>Inclusion of fuel price differential policies in the FSE--Some examples.</w:t>
            </w:r>
            <w:bookmarkEnd w:id="175"/>
          </w:p>
          <w:p w:rsidR="002666FF" w:rsidRDefault="002666FF" w:rsidP="002666FF">
            <w:pPr>
              <w:pStyle w:val="BoxBodyText"/>
            </w:pPr>
            <w:r>
              <w:t>The two conditions specified in the previous paragraph</w:t>
            </w:r>
            <w:r w:rsidR="00FC54F2">
              <w:t xml:space="preserve"> have to function as workable decision criteria for including a policy in the FSE. This box shows some examples of how this may be done in practice.</w:t>
            </w:r>
          </w:p>
          <w:p w:rsidR="00FC54F2" w:rsidRDefault="00FC54F2" w:rsidP="00FC54F2">
            <w:pPr>
              <w:pStyle w:val="BoxBodyText"/>
            </w:pPr>
            <w:r>
              <w:t>For the United States, exemptions for excise taxes on fuel for fisheries is explicitly mentioned in the tax law as follows (IRS Publication 510 cat no. 150141):</w:t>
            </w:r>
          </w:p>
          <w:p w:rsidR="00FC54F2" w:rsidRPr="000F5C4E" w:rsidRDefault="00FC54F2" w:rsidP="000F5C4E">
            <w:pPr>
              <w:pStyle w:val="Quote"/>
              <w:ind w:left="567" w:right="396"/>
              <w:rPr>
                <w:rFonts w:ascii="Arial" w:hAnsi="Arial" w:cs="Arial"/>
                <w:sz w:val="18"/>
                <w:szCs w:val="18"/>
                <w:lang w:eastAsia="en-US"/>
              </w:rPr>
            </w:pPr>
            <w:r w:rsidRPr="000F5C4E">
              <w:rPr>
                <w:rFonts w:ascii="Arial" w:hAnsi="Arial" w:cs="Arial"/>
                <w:b/>
                <w:sz w:val="18"/>
                <w:szCs w:val="18"/>
                <w:lang w:eastAsia="en-US"/>
              </w:rPr>
              <w:t>In a boat engaged in commercial fishing (No. 4)</w:t>
            </w:r>
            <w:r w:rsidRPr="000F5C4E">
              <w:rPr>
                <w:rFonts w:ascii="Arial" w:hAnsi="Arial" w:cs="Arial"/>
                <w:sz w:val="18"/>
                <w:szCs w:val="18"/>
                <w:lang w:eastAsia="en-US"/>
              </w:rPr>
              <w:t>. In a boat engaged in commercial fishing means fuel used in taking, catching, processing, or transporting fish, shellfish, or other aquatic life for commercial purposes, such as selling or processing the catch, on a specific trip basis. They include boats used in both fresh and salt water fishing. They do not include boats used for both sport fishing and commercial fishing on the same trip.</w:t>
            </w:r>
          </w:p>
          <w:p w:rsidR="00FC54F2" w:rsidRPr="00FC54F2" w:rsidRDefault="00FC54F2" w:rsidP="00FC54F2">
            <w:pPr>
              <w:pStyle w:val="BoxBodyText"/>
            </w:pPr>
            <w:r>
              <w:t>The legislation is clearly targeting fisheries, and so passes the first condition of specificity. However, the legislation provides the same (full) exemption for 16 different uses (see Table). S</w:t>
            </w:r>
            <w:r w:rsidRPr="00FC54F2">
              <w:t xml:space="preserve">ome of these are probably small in amount, but others such as No.1 and No. 2 </w:t>
            </w:r>
            <w:r>
              <w:t>are not. As the exemption provided for these other uses are the same as for fisheries, it is considered to be a broad exemption and therefore does not pass the second criterion (distinctness). On this basis, US fuel tax exemptions for fisheries would be excluded from the FSE.</w:t>
            </w:r>
          </w:p>
          <w:tbl>
            <w:tblPr>
              <w:tblW w:w="0" w:type="auto"/>
              <w:tblBorders>
                <w:top w:val="single" w:sz="4" w:space="0" w:color="auto"/>
                <w:left w:val="single" w:sz="4" w:space="0" w:color="auto"/>
                <w:bottom w:val="single" w:sz="4" w:space="0" w:color="auto"/>
                <w:right w:val="single" w:sz="4" w:space="0" w:color="auto"/>
              </w:tblBorders>
              <w:tblLayout w:type="fixed"/>
              <w:tblCellMar>
                <w:top w:w="57" w:type="dxa"/>
              </w:tblCellMar>
              <w:tblLook w:val="0000" w:firstRow="0" w:lastRow="0" w:firstColumn="0" w:lastColumn="0" w:noHBand="0" w:noVBand="0"/>
            </w:tblPr>
            <w:tblGrid>
              <w:gridCol w:w="653"/>
              <w:gridCol w:w="5809"/>
            </w:tblGrid>
            <w:tr w:rsidR="002666FF" w:rsidTr="002666FF">
              <w:trPr>
                <w:trHeight w:val="143"/>
              </w:trPr>
              <w:tc>
                <w:tcPr>
                  <w:tcW w:w="653" w:type="dxa"/>
                </w:tcPr>
                <w:p w:rsidR="002666FF" w:rsidRDefault="002666FF">
                  <w:pPr>
                    <w:pStyle w:val="Default"/>
                    <w:rPr>
                      <w:sz w:val="16"/>
                      <w:szCs w:val="16"/>
                    </w:rPr>
                  </w:pPr>
                  <w:r>
                    <w:rPr>
                      <w:b/>
                      <w:bCs/>
                      <w:sz w:val="16"/>
                      <w:szCs w:val="16"/>
                    </w:rPr>
                    <w:t xml:space="preserve">No. </w:t>
                  </w:r>
                </w:p>
              </w:tc>
              <w:tc>
                <w:tcPr>
                  <w:tcW w:w="5809" w:type="dxa"/>
                </w:tcPr>
                <w:p w:rsidR="002666FF" w:rsidRDefault="002666FF">
                  <w:pPr>
                    <w:pStyle w:val="Default"/>
                    <w:rPr>
                      <w:sz w:val="16"/>
                      <w:szCs w:val="16"/>
                    </w:rPr>
                  </w:pPr>
                  <w:r>
                    <w:rPr>
                      <w:b/>
                      <w:bCs/>
                      <w:sz w:val="16"/>
                      <w:szCs w:val="16"/>
                    </w:rPr>
                    <w:t xml:space="preserve">Type of Use </w:t>
                  </w:r>
                </w:p>
              </w:tc>
            </w:tr>
            <w:tr w:rsidR="002666FF" w:rsidTr="002666FF">
              <w:trPr>
                <w:trHeight w:val="142"/>
              </w:trPr>
              <w:tc>
                <w:tcPr>
                  <w:tcW w:w="653" w:type="dxa"/>
                </w:tcPr>
                <w:p w:rsidR="002666FF" w:rsidRDefault="002666FF">
                  <w:pPr>
                    <w:pStyle w:val="Default"/>
                    <w:rPr>
                      <w:sz w:val="16"/>
                      <w:szCs w:val="16"/>
                    </w:rPr>
                  </w:pPr>
                  <w:r>
                    <w:rPr>
                      <w:sz w:val="16"/>
                      <w:szCs w:val="16"/>
                    </w:rPr>
                    <w:t xml:space="preserve">1 </w:t>
                  </w:r>
                </w:p>
              </w:tc>
              <w:tc>
                <w:tcPr>
                  <w:tcW w:w="5809" w:type="dxa"/>
                </w:tcPr>
                <w:p w:rsidR="002666FF" w:rsidRDefault="002666FF">
                  <w:pPr>
                    <w:pStyle w:val="Default"/>
                    <w:rPr>
                      <w:sz w:val="16"/>
                      <w:szCs w:val="16"/>
                    </w:rPr>
                  </w:pPr>
                  <w:r>
                    <w:rPr>
                      <w:sz w:val="16"/>
                      <w:szCs w:val="16"/>
                    </w:rPr>
                    <w:t xml:space="preserve">On a farm for farming purposes </w:t>
                  </w:r>
                </w:p>
              </w:tc>
            </w:tr>
            <w:tr w:rsidR="002666FF" w:rsidTr="002666FF">
              <w:trPr>
                <w:trHeight w:val="342"/>
              </w:trPr>
              <w:tc>
                <w:tcPr>
                  <w:tcW w:w="653" w:type="dxa"/>
                </w:tcPr>
                <w:p w:rsidR="002666FF" w:rsidRDefault="002666FF">
                  <w:pPr>
                    <w:pStyle w:val="Default"/>
                    <w:rPr>
                      <w:sz w:val="16"/>
                      <w:szCs w:val="16"/>
                    </w:rPr>
                  </w:pPr>
                  <w:r>
                    <w:rPr>
                      <w:sz w:val="16"/>
                      <w:szCs w:val="16"/>
                    </w:rPr>
                    <w:t xml:space="preserve">2 </w:t>
                  </w:r>
                </w:p>
              </w:tc>
              <w:tc>
                <w:tcPr>
                  <w:tcW w:w="5809" w:type="dxa"/>
                </w:tcPr>
                <w:p w:rsidR="002666FF" w:rsidRDefault="002666FF">
                  <w:pPr>
                    <w:pStyle w:val="Default"/>
                    <w:rPr>
                      <w:sz w:val="16"/>
                      <w:szCs w:val="16"/>
                    </w:rPr>
                  </w:pPr>
                  <w:r>
                    <w:rPr>
                      <w:sz w:val="16"/>
                      <w:szCs w:val="16"/>
                    </w:rPr>
                    <w:t xml:space="preserve">Off-highway business use (for business use other than in a highway vehicle registered or required to be registered for highway use) (other than use in mobile machinery) </w:t>
                  </w:r>
                </w:p>
              </w:tc>
            </w:tr>
            <w:tr w:rsidR="002666FF" w:rsidTr="002666FF">
              <w:trPr>
                <w:trHeight w:val="142"/>
              </w:trPr>
              <w:tc>
                <w:tcPr>
                  <w:tcW w:w="653" w:type="dxa"/>
                </w:tcPr>
                <w:p w:rsidR="002666FF" w:rsidRDefault="002666FF">
                  <w:pPr>
                    <w:pStyle w:val="Default"/>
                    <w:rPr>
                      <w:sz w:val="16"/>
                      <w:szCs w:val="16"/>
                    </w:rPr>
                  </w:pPr>
                  <w:r>
                    <w:rPr>
                      <w:sz w:val="16"/>
                      <w:szCs w:val="16"/>
                    </w:rPr>
                    <w:t xml:space="preserve">3 </w:t>
                  </w:r>
                </w:p>
              </w:tc>
              <w:tc>
                <w:tcPr>
                  <w:tcW w:w="5809" w:type="dxa"/>
                </w:tcPr>
                <w:p w:rsidR="002666FF" w:rsidRDefault="002666FF">
                  <w:pPr>
                    <w:pStyle w:val="Default"/>
                    <w:rPr>
                      <w:sz w:val="16"/>
                      <w:szCs w:val="16"/>
                    </w:rPr>
                  </w:pPr>
                  <w:r>
                    <w:rPr>
                      <w:sz w:val="16"/>
                      <w:szCs w:val="16"/>
                    </w:rPr>
                    <w:t xml:space="preserve">Export </w:t>
                  </w:r>
                </w:p>
              </w:tc>
            </w:tr>
            <w:tr w:rsidR="002666FF" w:rsidTr="002666FF">
              <w:trPr>
                <w:trHeight w:val="142"/>
              </w:trPr>
              <w:tc>
                <w:tcPr>
                  <w:tcW w:w="653" w:type="dxa"/>
                </w:tcPr>
                <w:p w:rsidR="002666FF" w:rsidRDefault="002666FF">
                  <w:pPr>
                    <w:pStyle w:val="Default"/>
                    <w:rPr>
                      <w:sz w:val="16"/>
                      <w:szCs w:val="16"/>
                    </w:rPr>
                  </w:pPr>
                  <w:r>
                    <w:rPr>
                      <w:sz w:val="16"/>
                      <w:szCs w:val="16"/>
                    </w:rPr>
                    <w:t xml:space="preserve">4 </w:t>
                  </w:r>
                </w:p>
              </w:tc>
              <w:tc>
                <w:tcPr>
                  <w:tcW w:w="5809" w:type="dxa"/>
                </w:tcPr>
                <w:p w:rsidR="002666FF" w:rsidRDefault="002666FF">
                  <w:pPr>
                    <w:pStyle w:val="Default"/>
                    <w:rPr>
                      <w:sz w:val="16"/>
                      <w:szCs w:val="16"/>
                    </w:rPr>
                  </w:pPr>
                  <w:r>
                    <w:rPr>
                      <w:sz w:val="16"/>
                      <w:szCs w:val="16"/>
                    </w:rPr>
                    <w:t xml:space="preserve">In a boat engaged in commercial fishing </w:t>
                  </w:r>
                </w:p>
              </w:tc>
            </w:tr>
            <w:tr w:rsidR="002666FF" w:rsidTr="002666FF">
              <w:trPr>
                <w:trHeight w:val="142"/>
              </w:trPr>
              <w:tc>
                <w:tcPr>
                  <w:tcW w:w="653" w:type="dxa"/>
                </w:tcPr>
                <w:p w:rsidR="002666FF" w:rsidRDefault="002666FF">
                  <w:pPr>
                    <w:pStyle w:val="Default"/>
                    <w:rPr>
                      <w:sz w:val="16"/>
                      <w:szCs w:val="16"/>
                    </w:rPr>
                  </w:pPr>
                  <w:r>
                    <w:rPr>
                      <w:sz w:val="16"/>
                      <w:szCs w:val="16"/>
                    </w:rPr>
                    <w:t xml:space="preserve">5 </w:t>
                  </w:r>
                </w:p>
              </w:tc>
              <w:tc>
                <w:tcPr>
                  <w:tcW w:w="5809" w:type="dxa"/>
                </w:tcPr>
                <w:p w:rsidR="002666FF" w:rsidRDefault="002666FF">
                  <w:pPr>
                    <w:pStyle w:val="Default"/>
                    <w:rPr>
                      <w:sz w:val="16"/>
                      <w:szCs w:val="16"/>
                    </w:rPr>
                  </w:pPr>
                  <w:r>
                    <w:rPr>
                      <w:sz w:val="16"/>
                      <w:szCs w:val="16"/>
                    </w:rPr>
                    <w:t xml:space="preserve">In certain intercity and local buses </w:t>
                  </w:r>
                </w:p>
              </w:tc>
            </w:tr>
            <w:tr w:rsidR="002666FF" w:rsidTr="002666FF">
              <w:trPr>
                <w:trHeight w:val="142"/>
              </w:trPr>
              <w:tc>
                <w:tcPr>
                  <w:tcW w:w="653" w:type="dxa"/>
                </w:tcPr>
                <w:p w:rsidR="002666FF" w:rsidRDefault="002666FF">
                  <w:pPr>
                    <w:pStyle w:val="Default"/>
                    <w:rPr>
                      <w:sz w:val="16"/>
                      <w:szCs w:val="16"/>
                    </w:rPr>
                  </w:pPr>
                  <w:r>
                    <w:rPr>
                      <w:sz w:val="16"/>
                      <w:szCs w:val="16"/>
                    </w:rPr>
                    <w:t xml:space="preserve">6 </w:t>
                  </w:r>
                </w:p>
              </w:tc>
              <w:tc>
                <w:tcPr>
                  <w:tcW w:w="5809" w:type="dxa"/>
                </w:tcPr>
                <w:p w:rsidR="002666FF" w:rsidRDefault="002666FF">
                  <w:pPr>
                    <w:pStyle w:val="Default"/>
                    <w:rPr>
                      <w:sz w:val="16"/>
                      <w:szCs w:val="16"/>
                    </w:rPr>
                  </w:pPr>
                  <w:r>
                    <w:rPr>
                      <w:sz w:val="16"/>
                      <w:szCs w:val="16"/>
                    </w:rPr>
                    <w:t xml:space="preserve">In a qualified local bus </w:t>
                  </w:r>
                </w:p>
              </w:tc>
            </w:tr>
            <w:tr w:rsidR="002666FF" w:rsidTr="002666FF">
              <w:trPr>
                <w:trHeight w:val="142"/>
              </w:trPr>
              <w:tc>
                <w:tcPr>
                  <w:tcW w:w="653" w:type="dxa"/>
                </w:tcPr>
                <w:p w:rsidR="002666FF" w:rsidRDefault="002666FF">
                  <w:pPr>
                    <w:pStyle w:val="Default"/>
                    <w:rPr>
                      <w:sz w:val="16"/>
                      <w:szCs w:val="16"/>
                    </w:rPr>
                  </w:pPr>
                  <w:r>
                    <w:rPr>
                      <w:sz w:val="16"/>
                      <w:szCs w:val="16"/>
                    </w:rPr>
                    <w:t xml:space="preserve">7 </w:t>
                  </w:r>
                </w:p>
              </w:tc>
              <w:tc>
                <w:tcPr>
                  <w:tcW w:w="5809" w:type="dxa"/>
                </w:tcPr>
                <w:p w:rsidR="002666FF" w:rsidRDefault="002666FF">
                  <w:pPr>
                    <w:pStyle w:val="Default"/>
                    <w:rPr>
                      <w:sz w:val="16"/>
                      <w:szCs w:val="16"/>
                    </w:rPr>
                  </w:pPr>
                  <w:r>
                    <w:rPr>
                      <w:sz w:val="16"/>
                      <w:szCs w:val="16"/>
                    </w:rPr>
                    <w:t xml:space="preserve">In a bus transporting students and employees of schools (school buses) </w:t>
                  </w:r>
                </w:p>
              </w:tc>
            </w:tr>
            <w:tr w:rsidR="002666FF" w:rsidTr="002666FF">
              <w:trPr>
                <w:trHeight w:val="342"/>
              </w:trPr>
              <w:tc>
                <w:tcPr>
                  <w:tcW w:w="653" w:type="dxa"/>
                </w:tcPr>
                <w:p w:rsidR="002666FF" w:rsidRDefault="002666FF">
                  <w:pPr>
                    <w:pStyle w:val="Default"/>
                    <w:rPr>
                      <w:sz w:val="16"/>
                      <w:szCs w:val="16"/>
                    </w:rPr>
                  </w:pPr>
                  <w:r>
                    <w:rPr>
                      <w:sz w:val="16"/>
                      <w:szCs w:val="16"/>
                    </w:rPr>
                    <w:t xml:space="preserve">8 </w:t>
                  </w:r>
                </w:p>
              </w:tc>
              <w:tc>
                <w:tcPr>
                  <w:tcW w:w="5809" w:type="dxa"/>
                </w:tcPr>
                <w:p w:rsidR="002666FF" w:rsidRDefault="002666FF">
                  <w:pPr>
                    <w:pStyle w:val="Default"/>
                    <w:rPr>
                      <w:sz w:val="16"/>
                      <w:szCs w:val="16"/>
                    </w:rPr>
                  </w:pPr>
                  <w:r>
                    <w:rPr>
                      <w:sz w:val="16"/>
                      <w:szCs w:val="16"/>
                    </w:rPr>
                    <w:t xml:space="preserve">For diesel fuel and kerosene (other than kerosene used in aviation) used other than as a fuel in the propulsion engine of a train or diesel-powered highway vehicle (but not off-highway business use) </w:t>
                  </w:r>
                </w:p>
              </w:tc>
            </w:tr>
            <w:tr w:rsidR="002666FF" w:rsidTr="002666FF">
              <w:trPr>
                <w:trHeight w:val="142"/>
              </w:trPr>
              <w:tc>
                <w:tcPr>
                  <w:tcW w:w="653" w:type="dxa"/>
                </w:tcPr>
                <w:p w:rsidR="002666FF" w:rsidRDefault="002666FF">
                  <w:pPr>
                    <w:pStyle w:val="Default"/>
                    <w:rPr>
                      <w:sz w:val="16"/>
                      <w:szCs w:val="16"/>
                    </w:rPr>
                  </w:pPr>
                  <w:r>
                    <w:rPr>
                      <w:sz w:val="16"/>
                      <w:szCs w:val="16"/>
                    </w:rPr>
                    <w:t xml:space="preserve">9 </w:t>
                  </w:r>
                </w:p>
              </w:tc>
              <w:tc>
                <w:tcPr>
                  <w:tcW w:w="5809" w:type="dxa"/>
                </w:tcPr>
                <w:p w:rsidR="002666FF" w:rsidRDefault="002666FF">
                  <w:pPr>
                    <w:pStyle w:val="Default"/>
                    <w:rPr>
                      <w:sz w:val="16"/>
                      <w:szCs w:val="16"/>
                    </w:rPr>
                  </w:pPr>
                  <w:r>
                    <w:rPr>
                      <w:sz w:val="16"/>
                      <w:szCs w:val="16"/>
                    </w:rPr>
                    <w:t xml:space="preserve">In foreign trade </w:t>
                  </w:r>
                </w:p>
              </w:tc>
            </w:tr>
            <w:tr w:rsidR="002666FF" w:rsidTr="002666FF">
              <w:trPr>
                <w:trHeight w:val="142"/>
              </w:trPr>
              <w:tc>
                <w:tcPr>
                  <w:tcW w:w="653" w:type="dxa"/>
                </w:tcPr>
                <w:p w:rsidR="002666FF" w:rsidRDefault="002666FF">
                  <w:pPr>
                    <w:pStyle w:val="Default"/>
                    <w:rPr>
                      <w:sz w:val="16"/>
                      <w:szCs w:val="16"/>
                    </w:rPr>
                  </w:pPr>
                  <w:r>
                    <w:rPr>
                      <w:sz w:val="16"/>
                      <w:szCs w:val="16"/>
                    </w:rPr>
                    <w:t xml:space="preserve">10 </w:t>
                  </w:r>
                </w:p>
              </w:tc>
              <w:tc>
                <w:tcPr>
                  <w:tcW w:w="5809" w:type="dxa"/>
                </w:tcPr>
                <w:p w:rsidR="002666FF" w:rsidRDefault="002666FF">
                  <w:pPr>
                    <w:pStyle w:val="Default"/>
                    <w:rPr>
                      <w:sz w:val="16"/>
                      <w:szCs w:val="16"/>
                    </w:rPr>
                  </w:pPr>
                  <w:r>
                    <w:rPr>
                      <w:sz w:val="16"/>
                      <w:szCs w:val="16"/>
                    </w:rPr>
                    <w:t xml:space="preserve">Certain helicopter and fixed-wing aircraft uses </w:t>
                  </w:r>
                </w:p>
              </w:tc>
            </w:tr>
            <w:tr w:rsidR="002666FF" w:rsidTr="002666FF">
              <w:trPr>
                <w:trHeight w:val="142"/>
              </w:trPr>
              <w:tc>
                <w:tcPr>
                  <w:tcW w:w="653" w:type="dxa"/>
                </w:tcPr>
                <w:p w:rsidR="002666FF" w:rsidRDefault="002666FF">
                  <w:pPr>
                    <w:pStyle w:val="Default"/>
                    <w:rPr>
                      <w:sz w:val="16"/>
                      <w:szCs w:val="16"/>
                    </w:rPr>
                  </w:pPr>
                  <w:r>
                    <w:rPr>
                      <w:sz w:val="16"/>
                      <w:szCs w:val="16"/>
                    </w:rPr>
                    <w:t xml:space="preserve">11 </w:t>
                  </w:r>
                </w:p>
              </w:tc>
              <w:tc>
                <w:tcPr>
                  <w:tcW w:w="5809" w:type="dxa"/>
                </w:tcPr>
                <w:p w:rsidR="002666FF" w:rsidRDefault="002666FF">
                  <w:pPr>
                    <w:pStyle w:val="Default"/>
                    <w:rPr>
                      <w:sz w:val="16"/>
                      <w:szCs w:val="16"/>
                    </w:rPr>
                  </w:pPr>
                  <w:r>
                    <w:rPr>
                      <w:sz w:val="16"/>
                      <w:szCs w:val="16"/>
                    </w:rPr>
                    <w:t xml:space="preserve">Exclusive use by a qualified blood collector organization </w:t>
                  </w:r>
                </w:p>
              </w:tc>
            </w:tr>
            <w:tr w:rsidR="002666FF" w:rsidTr="002666FF">
              <w:trPr>
                <w:trHeight w:val="142"/>
              </w:trPr>
              <w:tc>
                <w:tcPr>
                  <w:tcW w:w="653" w:type="dxa"/>
                </w:tcPr>
                <w:p w:rsidR="002666FF" w:rsidRDefault="002666FF">
                  <w:pPr>
                    <w:pStyle w:val="Default"/>
                    <w:rPr>
                      <w:sz w:val="16"/>
                      <w:szCs w:val="16"/>
                    </w:rPr>
                  </w:pPr>
                  <w:r>
                    <w:rPr>
                      <w:sz w:val="16"/>
                      <w:szCs w:val="16"/>
                    </w:rPr>
                    <w:t xml:space="preserve">12 </w:t>
                  </w:r>
                </w:p>
              </w:tc>
              <w:tc>
                <w:tcPr>
                  <w:tcW w:w="5809" w:type="dxa"/>
                </w:tcPr>
                <w:p w:rsidR="002666FF" w:rsidRDefault="002666FF">
                  <w:pPr>
                    <w:pStyle w:val="Default"/>
                    <w:rPr>
                      <w:sz w:val="16"/>
                      <w:szCs w:val="16"/>
                    </w:rPr>
                  </w:pPr>
                  <w:r>
                    <w:rPr>
                      <w:sz w:val="16"/>
                      <w:szCs w:val="16"/>
                    </w:rPr>
                    <w:t xml:space="preserve">In a highway vehicle owned by the United States that is not used on a highway </w:t>
                  </w:r>
                </w:p>
              </w:tc>
            </w:tr>
            <w:tr w:rsidR="002666FF" w:rsidTr="002666FF">
              <w:trPr>
                <w:trHeight w:val="142"/>
              </w:trPr>
              <w:tc>
                <w:tcPr>
                  <w:tcW w:w="653" w:type="dxa"/>
                </w:tcPr>
                <w:p w:rsidR="002666FF" w:rsidRDefault="002666FF">
                  <w:pPr>
                    <w:pStyle w:val="Default"/>
                    <w:rPr>
                      <w:sz w:val="16"/>
                      <w:szCs w:val="16"/>
                    </w:rPr>
                  </w:pPr>
                  <w:r>
                    <w:rPr>
                      <w:sz w:val="16"/>
                      <w:szCs w:val="16"/>
                    </w:rPr>
                    <w:t xml:space="preserve">13 </w:t>
                  </w:r>
                </w:p>
              </w:tc>
              <w:tc>
                <w:tcPr>
                  <w:tcW w:w="5809" w:type="dxa"/>
                </w:tcPr>
                <w:p w:rsidR="002666FF" w:rsidRDefault="002666FF">
                  <w:pPr>
                    <w:pStyle w:val="Default"/>
                    <w:rPr>
                      <w:sz w:val="16"/>
                      <w:szCs w:val="16"/>
                    </w:rPr>
                  </w:pPr>
                  <w:r>
                    <w:rPr>
                      <w:sz w:val="16"/>
                      <w:szCs w:val="16"/>
                    </w:rPr>
                    <w:t xml:space="preserve">Exclusive use by a nonprofit educational organization </w:t>
                  </w:r>
                </w:p>
              </w:tc>
            </w:tr>
            <w:tr w:rsidR="002666FF" w:rsidTr="002666FF">
              <w:trPr>
                <w:trHeight w:val="242"/>
              </w:trPr>
              <w:tc>
                <w:tcPr>
                  <w:tcW w:w="653" w:type="dxa"/>
                </w:tcPr>
                <w:p w:rsidR="002666FF" w:rsidRDefault="002666FF">
                  <w:pPr>
                    <w:pStyle w:val="Default"/>
                    <w:rPr>
                      <w:sz w:val="16"/>
                      <w:szCs w:val="16"/>
                    </w:rPr>
                  </w:pPr>
                  <w:r>
                    <w:rPr>
                      <w:sz w:val="16"/>
                      <w:szCs w:val="16"/>
                    </w:rPr>
                    <w:t xml:space="preserve">14 </w:t>
                  </w:r>
                </w:p>
              </w:tc>
              <w:tc>
                <w:tcPr>
                  <w:tcW w:w="5809" w:type="dxa"/>
                </w:tcPr>
                <w:p w:rsidR="002666FF" w:rsidRDefault="002666FF">
                  <w:pPr>
                    <w:pStyle w:val="Default"/>
                    <w:rPr>
                      <w:sz w:val="16"/>
                      <w:szCs w:val="16"/>
                    </w:rPr>
                  </w:pPr>
                  <w:r>
                    <w:rPr>
                      <w:sz w:val="16"/>
                      <w:szCs w:val="16"/>
                    </w:rPr>
                    <w:t xml:space="preserve">Exclusive use by a state, political subdivision of a state, or the District of Columbia </w:t>
                  </w:r>
                </w:p>
              </w:tc>
            </w:tr>
            <w:tr w:rsidR="002666FF" w:rsidTr="002666FF">
              <w:trPr>
                <w:trHeight w:val="142"/>
              </w:trPr>
              <w:tc>
                <w:tcPr>
                  <w:tcW w:w="653" w:type="dxa"/>
                </w:tcPr>
                <w:p w:rsidR="002666FF" w:rsidRDefault="002666FF">
                  <w:pPr>
                    <w:pStyle w:val="Default"/>
                    <w:rPr>
                      <w:sz w:val="16"/>
                      <w:szCs w:val="16"/>
                    </w:rPr>
                  </w:pPr>
                  <w:r>
                    <w:rPr>
                      <w:sz w:val="16"/>
                      <w:szCs w:val="16"/>
                    </w:rPr>
                    <w:t xml:space="preserve">15 </w:t>
                  </w:r>
                </w:p>
              </w:tc>
              <w:tc>
                <w:tcPr>
                  <w:tcW w:w="5809" w:type="dxa"/>
                </w:tcPr>
                <w:p w:rsidR="002666FF" w:rsidRDefault="002666FF">
                  <w:pPr>
                    <w:pStyle w:val="Default"/>
                    <w:rPr>
                      <w:sz w:val="16"/>
                      <w:szCs w:val="16"/>
                    </w:rPr>
                  </w:pPr>
                  <w:r>
                    <w:rPr>
                      <w:sz w:val="16"/>
                      <w:szCs w:val="16"/>
                    </w:rPr>
                    <w:t xml:space="preserve">In an aircraft or vehicle owned by an aircraft museum </w:t>
                  </w:r>
                </w:p>
              </w:tc>
            </w:tr>
            <w:tr w:rsidR="002666FF" w:rsidTr="002666FF">
              <w:trPr>
                <w:trHeight w:val="142"/>
              </w:trPr>
              <w:tc>
                <w:tcPr>
                  <w:tcW w:w="653" w:type="dxa"/>
                </w:tcPr>
                <w:p w:rsidR="002666FF" w:rsidRDefault="002666FF">
                  <w:pPr>
                    <w:pStyle w:val="Default"/>
                    <w:rPr>
                      <w:sz w:val="16"/>
                      <w:szCs w:val="16"/>
                    </w:rPr>
                  </w:pPr>
                  <w:r>
                    <w:rPr>
                      <w:sz w:val="16"/>
                      <w:szCs w:val="16"/>
                    </w:rPr>
                    <w:t xml:space="preserve">16 </w:t>
                  </w:r>
                </w:p>
              </w:tc>
              <w:tc>
                <w:tcPr>
                  <w:tcW w:w="5809" w:type="dxa"/>
                </w:tcPr>
                <w:p w:rsidR="002666FF" w:rsidRDefault="002666FF">
                  <w:pPr>
                    <w:pStyle w:val="Default"/>
                    <w:rPr>
                      <w:sz w:val="16"/>
                      <w:szCs w:val="16"/>
                    </w:rPr>
                  </w:pPr>
                  <w:r>
                    <w:rPr>
                      <w:sz w:val="16"/>
                      <w:szCs w:val="16"/>
                    </w:rPr>
                    <w:t xml:space="preserve">In military aircraft </w:t>
                  </w:r>
                </w:p>
              </w:tc>
            </w:tr>
          </w:tbl>
          <w:p w:rsidR="00D47D15" w:rsidRDefault="0039317C" w:rsidP="0039317C">
            <w:pPr>
              <w:pStyle w:val="BoxSource"/>
            </w:pPr>
            <w:r>
              <w:t>Source: IRS Publication 510.</w:t>
            </w:r>
          </w:p>
          <w:p w:rsidR="0039317C" w:rsidRDefault="0039317C" w:rsidP="00D47D15">
            <w:pPr>
              <w:pStyle w:val="BoxBodyText"/>
              <w:rPr>
                <w:lang w:val="en-GB"/>
              </w:rPr>
            </w:pPr>
            <w:r>
              <w:rPr>
                <w:lang w:val="en-GB"/>
              </w:rPr>
              <w:t xml:space="preserve">In the case of </w:t>
            </w:r>
            <w:r w:rsidR="00B36AEE">
              <w:rPr>
                <w:lang w:val="en-GB"/>
              </w:rPr>
              <w:t>countries that are members of the</w:t>
            </w:r>
            <w:r>
              <w:rPr>
                <w:lang w:val="en-GB"/>
              </w:rPr>
              <w:t xml:space="preserve"> European Union, legislation provides for a total exemption from taxation for fuel used for aviation and navigation (including fishing) as follows</w:t>
            </w:r>
            <w:r w:rsidR="00502706">
              <w:rPr>
                <w:lang w:val="en-GB"/>
              </w:rPr>
              <w:t xml:space="preserve"> (</w:t>
            </w:r>
            <w:r w:rsidR="00502706" w:rsidRPr="00502706">
              <w:rPr>
                <w:lang w:val="en-GB"/>
              </w:rPr>
              <w:t>Council Directive 2003/96/EC</w:t>
            </w:r>
            <w:r w:rsidR="00502706">
              <w:rPr>
                <w:lang w:val="en-GB"/>
              </w:rPr>
              <w:t>, Article 14)</w:t>
            </w:r>
            <w:r>
              <w:rPr>
                <w:lang w:val="en-GB"/>
              </w:rPr>
              <w:t>;</w:t>
            </w:r>
          </w:p>
          <w:p w:rsidR="0039317C" w:rsidRPr="000F5C4E" w:rsidRDefault="0039317C" w:rsidP="000F5C4E">
            <w:pPr>
              <w:pStyle w:val="Quote"/>
              <w:ind w:left="567" w:right="396"/>
              <w:rPr>
                <w:rFonts w:ascii="Arial" w:hAnsi="Arial" w:cs="Arial"/>
                <w:sz w:val="18"/>
                <w:szCs w:val="18"/>
                <w:lang w:eastAsia="en-US"/>
              </w:rPr>
            </w:pPr>
            <w:r w:rsidRPr="000F5C4E">
              <w:rPr>
                <w:rFonts w:ascii="Arial" w:hAnsi="Arial" w:cs="Arial"/>
                <w:sz w:val="18"/>
                <w:szCs w:val="18"/>
                <w:lang w:eastAsia="en-US"/>
              </w:rPr>
              <w:t>Member States shall exempt the following from taxation under conditions which they shall lay down for the purpose of ensuring the correct and straightforward application of such exemptions and of preventing any evasion, avoidance or abuse:</w:t>
            </w:r>
          </w:p>
          <w:p w:rsidR="0039317C" w:rsidRPr="000F5C4E" w:rsidRDefault="0039317C" w:rsidP="000F5C4E">
            <w:pPr>
              <w:pStyle w:val="Quote"/>
              <w:ind w:left="567" w:right="396"/>
              <w:rPr>
                <w:rFonts w:ascii="Arial" w:hAnsi="Arial" w:cs="Arial"/>
                <w:sz w:val="18"/>
                <w:szCs w:val="18"/>
                <w:lang w:eastAsia="en-US"/>
              </w:rPr>
            </w:pPr>
            <w:r w:rsidRPr="000F5C4E">
              <w:rPr>
                <w:rFonts w:ascii="Arial" w:hAnsi="Arial" w:cs="Arial"/>
                <w:sz w:val="18"/>
                <w:szCs w:val="18"/>
                <w:lang w:eastAsia="en-US"/>
              </w:rPr>
              <w:t>(a) energy products and electricity used to produce electricity and electricity used to maintain the ability to produce electricity.</w:t>
            </w:r>
          </w:p>
          <w:p w:rsidR="0039317C" w:rsidRPr="000F5C4E" w:rsidRDefault="0039317C" w:rsidP="000F5C4E">
            <w:pPr>
              <w:pStyle w:val="Quote"/>
              <w:ind w:left="567" w:right="396"/>
              <w:rPr>
                <w:rFonts w:ascii="Arial" w:hAnsi="Arial" w:cs="Arial"/>
                <w:sz w:val="18"/>
                <w:szCs w:val="18"/>
                <w:lang w:eastAsia="en-US"/>
              </w:rPr>
            </w:pPr>
            <w:r w:rsidRPr="000F5C4E">
              <w:rPr>
                <w:rFonts w:ascii="Arial" w:hAnsi="Arial" w:cs="Arial"/>
                <w:sz w:val="18"/>
                <w:szCs w:val="18"/>
                <w:lang w:eastAsia="en-US"/>
              </w:rPr>
              <w:t>(b) energy products supplied for use as fuel for the purpose of air navigation other than in private pleasure-flying.</w:t>
            </w:r>
          </w:p>
          <w:p w:rsidR="0039317C" w:rsidRPr="000F5C4E" w:rsidRDefault="0039317C" w:rsidP="000F5C4E">
            <w:pPr>
              <w:pStyle w:val="Quote"/>
              <w:ind w:left="567" w:right="396"/>
              <w:rPr>
                <w:rFonts w:ascii="Arial" w:hAnsi="Arial" w:cs="Arial"/>
                <w:sz w:val="18"/>
                <w:szCs w:val="18"/>
                <w:lang w:eastAsia="en-US"/>
              </w:rPr>
            </w:pPr>
            <w:r w:rsidRPr="000F5C4E">
              <w:rPr>
                <w:rFonts w:ascii="Arial" w:hAnsi="Arial" w:cs="Arial"/>
                <w:sz w:val="18"/>
                <w:szCs w:val="18"/>
                <w:lang w:eastAsia="en-US"/>
              </w:rPr>
              <w:t>(c) energy products supplied for use as fuel for the purposes of navigation within Community waters (including fishing), other than private pleasure craft, and electricity produced on board a craft.</w:t>
            </w:r>
          </w:p>
          <w:p w:rsidR="0039317C" w:rsidRDefault="0039317C" w:rsidP="0039317C">
            <w:pPr>
              <w:tabs>
                <w:tab w:val="clear" w:pos="850"/>
                <w:tab w:val="clear" w:pos="1191"/>
                <w:tab w:val="clear" w:pos="1531"/>
              </w:tabs>
              <w:autoSpaceDE w:val="0"/>
              <w:autoSpaceDN w:val="0"/>
              <w:adjustRightInd w:val="0"/>
              <w:jc w:val="left"/>
              <w:rPr>
                <w:rFonts w:ascii="Arial" w:hAnsi="Arial" w:cs="Arial"/>
                <w:sz w:val="16"/>
                <w:szCs w:val="16"/>
                <w:lang w:eastAsia="en-US"/>
              </w:rPr>
            </w:pPr>
          </w:p>
          <w:p w:rsidR="0039317C" w:rsidRDefault="0039317C" w:rsidP="00502706">
            <w:pPr>
              <w:pStyle w:val="BoxBodyText"/>
              <w:rPr>
                <w:lang w:eastAsia="en-US"/>
              </w:rPr>
            </w:pPr>
            <w:r>
              <w:rPr>
                <w:lang w:eastAsia="en-US"/>
              </w:rPr>
              <w:t>Other</w:t>
            </w:r>
            <w:r w:rsidR="00502706">
              <w:rPr>
                <w:lang w:eastAsia="en-US"/>
              </w:rPr>
              <w:t xml:space="preserve"> defined</w:t>
            </w:r>
            <w:r>
              <w:rPr>
                <w:lang w:eastAsia="en-US"/>
              </w:rPr>
              <w:t xml:space="preserve"> uses may be granted a</w:t>
            </w:r>
            <w:r w:rsidR="00B36AEE">
              <w:rPr>
                <w:lang w:eastAsia="en-US"/>
              </w:rPr>
              <w:t xml:space="preserve"> </w:t>
            </w:r>
            <w:r w:rsidR="00502706">
              <w:rPr>
                <w:lang w:eastAsia="en-US"/>
              </w:rPr>
              <w:t xml:space="preserve">full or </w:t>
            </w:r>
            <w:r w:rsidR="00B36AEE">
              <w:rPr>
                <w:lang w:eastAsia="en-US"/>
              </w:rPr>
              <w:t xml:space="preserve">partial exemption from taxation at the discretion of the member </w:t>
            </w:r>
            <w:r w:rsidR="00B36AEE">
              <w:rPr>
                <w:lang w:eastAsia="en-US"/>
              </w:rPr>
              <w:lastRenderedPageBreak/>
              <w:t>country</w:t>
            </w:r>
            <w:r w:rsidR="00502706">
              <w:rPr>
                <w:lang w:eastAsia="en-US"/>
              </w:rPr>
              <w:t xml:space="preserve"> (Articles 15-19). These uses include a </w:t>
            </w:r>
            <w:r w:rsidR="00502706" w:rsidRPr="00502706">
              <w:t>broad</w:t>
            </w:r>
            <w:r w:rsidR="00502706">
              <w:rPr>
                <w:lang w:eastAsia="en-US"/>
              </w:rPr>
              <w:t xml:space="preserve"> array of energy products and uses, each of which may be assigned a specific rate of tax exemption. Therefore, the legislation does not provide for a broad rate of exemption that is the same for fisheries as for other uses, though this may be the case in certain member countries if they have elected to design their tax policy in that way. </w:t>
            </w:r>
          </w:p>
          <w:p w:rsidR="00502706" w:rsidRPr="00502706" w:rsidRDefault="009557B7" w:rsidP="0039317C">
            <w:pPr>
              <w:pStyle w:val="BoxBodyText"/>
              <w:rPr>
                <w:lang w:eastAsia="en-US"/>
              </w:rPr>
            </w:pPr>
            <w:r>
              <w:rPr>
                <w:lang w:eastAsia="en-US"/>
              </w:rPr>
              <w:t xml:space="preserve">The EU legislation targets fisheries and so meets condition 1 (specificity). The legislation conditionally meets condition 2 </w:t>
            </w:r>
            <w:r w:rsidR="000F5C4E">
              <w:rPr>
                <w:lang w:eastAsia="en-US"/>
              </w:rPr>
              <w:t>(distinctness) as i</w:t>
            </w:r>
            <w:r>
              <w:rPr>
                <w:lang w:eastAsia="en-US"/>
              </w:rPr>
              <w:t>t allows but does not require that rates of tax exemption that are different for fisheries and other important uses.</w:t>
            </w:r>
            <w:r w:rsidR="000F5C4E">
              <w:rPr>
                <w:lang w:eastAsia="en-US"/>
              </w:rPr>
              <w:t xml:space="preserve"> </w:t>
            </w:r>
          </w:p>
          <w:p w:rsidR="00FD4DC9" w:rsidRDefault="009557B7" w:rsidP="00FD4DC9">
            <w:pPr>
              <w:pStyle w:val="BoxSource"/>
              <w:spacing w:after="120"/>
            </w:pPr>
            <w:r>
              <w:t xml:space="preserve">Sources: </w:t>
            </w:r>
          </w:p>
          <w:p w:rsidR="0039317C" w:rsidRPr="00FD4DC9" w:rsidRDefault="009557B7" w:rsidP="00FD4DC9">
            <w:pPr>
              <w:pStyle w:val="BoxSource"/>
              <w:spacing w:after="120"/>
            </w:pPr>
            <w:r w:rsidRPr="00FD4DC9">
              <w:t>EC (2003)</w:t>
            </w:r>
            <w:r w:rsidR="00FD4DC9" w:rsidRPr="00FD4DC9">
              <w:t>,</w:t>
            </w:r>
            <w:r w:rsidRPr="00FD4DC9">
              <w:t xml:space="preserve"> </w:t>
            </w:r>
            <w:r w:rsidRPr="00FD4DC9">
              <w:rPr>
                <w:i/>
              </w:rPr>
              <w:t>Council Directive 2003/96/EC restructuring the Community framework for the taxation of energy products and electricity</w:t>
            </w:r>
            <w:r w:rsidRPr="00FD4DC9">
              <w:t xml:space="preserve"> Official Journal L 283/51.</w:t>
            </w:r>
          </w:p>
          <w:p w:rsidR="009557B7" w:rsidRPr="00FD4DC9" w:rsidRDefault="00FD4DC9" w:rsidP="00FD4DC9">
            <w:pPr>
              <w:pStyle w:val="BoxSource"/>
              <w:spacing w:after="120"/>
              <w:rPr>
                <w:lang w:val="en-GB"/>
              </w:rPr>
            </w:pPr>
            <w:r w:rsidRPr="00FD4DC9">
              <w:rPr>
                <w:lang w:val="en-GB"/>
              </w:rPr>
              <w:t xml:space="preserve">IRS (2015), </w:t>
            </w:r>
            <w:r w:rsidRPr="00FD4DC9">
              <w:rPr>
                <w:i/>
                <w:lang w:val="en-GB"/>
              </w:rPr>
              <w:t>Excise Taxes (Including Fuel Tax Credits and Refunds)</w:t>
            </w:r>
            <w:r w:rsidRPr="00FD4DC9">
              <w:rPr>
                <w:lang w:val="en-GB"/>
              </w:rPr>
              <w:t>, Publication 510 catalogue number 150141.</w:t>
            </w:r>
          </w:p>
        </w:tc>
      </w:tr>
    </w:tbl>
    <w:p w:rsidR="004D2150" w:rsidRPr="00FD4DC9" w:rsidRDefault="004D2150" w:rsidP="004D2150">
      <w:pPr>
        <w:pStyle w:val="BodyText"/>
        <w:ind w:firstLine="0"/>
      </w:pPr>
    </w:p>
    <w:p w:rsidR="00D03B78" w:rsidRPr="00EF1424" w:rsidRDefault="006C125F" w:rsidP="007B3974">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41</w:instrText>
      </w:r>
      <w:r>
        <w:fldChar w:fldCharType="end"/>
      </w:r>
      <w:r>
        <w:instrText>.</w:instrText>
      </w:r>
      <w:r>
        <w:tab/>
      </w:r>
      <w:r>
        <w:fldChar w:fldCharType="end"/>
      </w:r>
      <w:r w:rsidR="005C05C3">
        <w:t xml:space="preserve">The main policy instrument related to fuel price that is targeted at fishers is differential </w:t>
      </w:r>
      <w:r w:rsidR="0038276E">
        <w:t xml:space="preserve">excise </w:t>
      </w:r>
      <w:r w:rsidR="005C05C3">
        <w:t>tax rates for fuel</w:t>
      </w:r>
      <w:r w:rsidR="007B3974">
        <w:t>, usually but not exclusively provided by f</w:t>
      </w:r>
      <w:r w:rsidR="007B3974" w:rsidRPr="00F81353">
        <w:t>uel-tax concessions (FTC</w:t>
      </w:r>
      <w:r w:rsidR="007B3974">
        <w:t>s</w:t>
      </w:r>
      <w:r w:rsidR="007B3974" w:rsidRPr="00F81353">
        <w:t>)</w:t>
      </w:r>
      <w:r w:rsidR="007B3974">
        <w:t>. FTCs</w:t>
      </w:r>
      <w:r w:rsidR="007B3974" w:rsidRPr="00F81353">
        <w:t xml:space="preserve"> include a rebate, refund, expenditure or </w:t>
      </w:r>
      <w:r w:rsidR="00D4279B">
        <w:t>reduction for fishers</w:t>
      </w:r>
      <w:r w:rsidR="007B3974" w:rsidRPr="00F81353">
        <w:t xml:space="preserve"> from direct fuel taxes </w:t>
      </w:r>
      <w:r w:rsidR="007B3974" w:rsidRPr="00332308">
        <w:t xml:space="preserve">that are normally levied by the government on fuel users in the economy; price controls that suppress fuel prices below market prices; and programmes that provide direct transfers or payments (OECD, 2012). </w:t>
      </w:r>
    </w:p>
    <w:p w:rsidR="00D4279B" w:rsidRDefault="00D4279B" w:rsidP="00D4279B">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42</w:instrText>
      </w:r>
      <w:r>
        <w:fldChar w:fldCharType="end"/>
      </w:r>
      <w:r>
        <w:instrText>.</w:instrText>
      </w:r>
      <w:r>
        <w:tab/>
      </w:r>
      <w:r>
        <w:fldChar w:fldCharType="end"/>
      </w:r>
      <w:r>
        <w:t xml:space="preserve"> Capturing the differential between the price of fuel paid by households and by fishers helps to understand the value of these transfers from a common reference point. The household price of fuel is used as the reference price in the </w:t>
      </w:r>
      <w:r w:rsidRPr="005C05C3">
        <w:rPr>
          <w:i/>
        </w:rPr>
        <w:t>OECD Inventory of Estimated Budgetary Support and Tax Expenditures for Fossil Fuels</w:t>
      </w:r>
      <w:r>
        <w:t xml:space="preserve"> (FFS Inventory) (OECD 201</w:t>
      </w:r>
      <w:r w:rsidR="000F5C4E">
        <w:t>5</w:t>
      </w:r>
      <w:r>
        <w:t>), and a common reference allows consistency with that broader exercise.</w:t>
      </w:r>
      <w:r w:rsidRPr="00D4279B">
        <w:t xml:space="preserve"> </w:t>
      </w:r>
      <w:r>
        <w:t>The</w:t>
      </w:r>
      <w:r w:rsidRPr="00332308">
        <w:t xml:space="preserve"> </w:t>
      </w:r>
      <w:r>
        <w:t>method used to calculate the value of transfers generated by FTCs</w:t>
      </w:r>
      <w:r w:rsidRPr="00332308">
        <w:t xml:space="preserve"> follows </w:t>
      </w:r>
      <w:r>
        <w:t>previous work on</w:t>
      </w:r>
      <w:r w:rsidRPr="00332308">
        <w:t xml:space="preserve"> government transfers related to fuel use for fishing fleets in OECD and non-OECD countries in 2008 (OECD, 2012</w:t>
      </w:r>
      <w:r>
        <w:t>)</w:t>
      </w:r>
      <w:r w:rsidRPr="00332308">
        <w:t>.</w:t>
      </w:r>
    </w:p>
    <w:p w:rsidR="00D03B78" w:rsidRDefault="007B3974" w:rsidP="006C125F">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43</w:instrText>
      </w:r>
      <w:r>
        <w:fldChar w:fldCharType="end"/>
      </w:r>
      <w:r>
        <w:instrText>.</w:instrText>
      </w:r>
      <w:r>
        <w:tab/>
      </w:r>
      <w:r>
        <w:fldChar w:fldCharType="end"/>
      </w:r>
      <w:r w:rsidR="00D03B78" w:rsidRPr="00EF1424">
        <w:t xml:space="preserve">A complete and reliable quantification of tax concessions is a complex empirical task, requiring a considerable amount of resources and information. </w:t>
      </w:r>
      <w:r w:rsidR="00D03B78">
        <w:t>Estimates of</w:t>
      </w:r>
      <w:r w:rsidR="00D03B78" w:rsidRPr="00EF1424">
        <w:t xml:space="preserve"> the value of tax revenue foregone</w:t>
      </w:r>
      <w:r w:rsidR="00D03B78">
        <w:t xml:space="preserve"> are not typically carried out by fisheries administrations, though it is possible that this is done by tax administrations</w:t>
      </w:r>
      <w:r w:rsidR="00D03B78" w:rsidRPr="00EF1424">
        <w:t xml:space="preserve">. </w:t>
      </w:r>
      <w:r w:rsidR="005C05C3">
        <w:t>T</w:t>
      </w:r>
      <w:r w:rsidR="00D03B78" w:rsidRPr="00EF1424">
        <w:t xml:space="preserve">he value of </w:t>
      </w:r>
      <w:r w:rsidR="00D03B78">
        <w:t>these transfers</w:t>
      </w:r>
      <w:r w:rsidR="00D03B78" w:rsidRPr="00EF1424">
        <w:t xml:space="preserve"> </w:t>
      </w:r>
      <w:r w:rsidR="005C05C3">
        <w:t>should</w:t>
      </w:r>
      <w:r w:rsidR="00D03B78" w:rsidRPr="00EF1424">
        <w:t xml:space="preserve"> be estimated </w:t>
      </w:r>
      <w:r w:rsidR="005C05C3">
        <w:t xml:space="preserve">in the FSE </w:t>
      </w:r>
      <w:r w:rsidR="00D03B78" w:rsidRPr="00EF1424">
        <w:t xml:space="preserve">at reasonable cost and accuracy. </w:t>
      </w:r>
    </w:p>
    <w:p w:rsidR="007B3974" w:rsidRDefault="007B3974" w:rsidP="007B3974">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44</w:instrText>
      </w:r>
      <w:r>
        <w:fldChar w:fldCharType="end"/>
      </w:r>
      <w:r>
        <w:instrText>.</w:instrText>
      </w:r>
      <w:r>
        <w:tab/>
      </w:r>
      <w:r>
        <w:fldChar w:fldCharType="end"/>
      </w:r>
      <w:r>
        <w:t xml:space="preserve">For European countries that do not report data directly to the OECD, </w:t>
      </w:r>
      <w:r w:rsidRPr="00106C65">
        <w:t>fuel consumption data from the EU Fleet Economic and Transversal data at the national level (STECF, 2015) and FTC rate from the JRC report on fuel subsidies (JRC, 2013)</w:t>
      </w:r>
      <w:r>
        <w:t xml:space="preserve"> is used. This provides a consistent framework and method for EU member countries that is compatible with the OECD definition of FTCs.</w:t>
      </w:r>
    </w:p>
    <w:p w:rsidR="007B3974" w:rsidRDefault="007B3974" w:rsidP="007B3974">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45</w:instrText>
      </w:r>
      <w:r>
        <w:fldChar w:fldCharType="end"/>
      </w:r>
      <w:r>
        <w:instrText>.</w:instrText>
      </w:r>
      <w:r>
        <w:tab/>
      </w:r>
      <w:r>
        <w:fldChar w:fldCharType="end"/>
      </w:r>
      <w:r>
        <w:t xml:space="preserve">For other countries that </w:t>
      </w:r>
      <w:r w:rsidR="00A56C58">
        <w:t>need help producing FTC estimates</w:t>
      </w:r>
      <w:r>
        <w:t xml:space="preserve">, the Secretariat </w:t>
      </w:r>
      <w:r w:rsidR="00A56C58">
        <w:t>can</w:t>
      </w:r>
      <w:r>
        <w:t xml:space="preserve"> produce an estimate internally using the information on rates of support from </w:t>
      </w:r>
      <w:r w:rsidRPr="00106C65">
        <w:t>IEA data (OECD.Stat)</w:t>
      </w:r>
      <w:r>
        <w:t>,</w:t>
      </w:r>
      <w:r w:rsidR="00A56C58">
        <w:t xml:space="preserve"> using the FFS Inventory (OECD 2015),</w:t>
      </w:r>
      <w:r>
        <w:t xml:space="preserve"> information from</w:t>
      </w:r>
      <w:r w:rsidRPr="00106C65">
        <w:t xml:space="preserve"> </w:t>
      </w:r>
      <w:r>
        <w:rPr>
          <w:i/>
        </w:rPr>
        <w:t xml:space="preserve">Fuel Tax Concessions in Fisheries </w:t>
      </w:r>
      <w:r>
        <w:t>[</w:t>
      </w:r>
      <w:hyperlink r:id="rId18" w:history="1">
        <w:r w:rsidRPr="00E3190F">
          <w:rPr>
            <w:rStyle w:val="Hyperlink"/>
          </w:rPr>
          <w:t>TAD/FI(2010)8</w:t>
        </w:r>
      </w:hyperlink>
      <w:r>
        <w:t xml:space="preserve">], and quantities estimated using the fuel intensity factors in </w:t>
      </w:r>
      <w:r>
        <w:rPr>
          <w:i/>
        </w:rPr>
        <w:t>Energy Use in Fisheries</w:t>
      </w:r>
      <w:r>
        <w:t xml:space="preserve"> [</w:t>
      </w:r>
      <w:hyperlink r:id="rId19" w:history="1">
        <w:r w:rsidRPr="00E3190F">
          <w:rPr>
            <w:rStyle w:val="Hyperlink"/>
          </w:rPr>
          <w:t>TAD/FI(2012)2</w:t>
        </w:r>
      </w:hyperlink>
      <w:r>
        <w:t>] combined with fleet and landing data.</w:t>
      </w:r>
    </w:p>
    <w:p w:rsidR="00F31CFB" w:rsidRPr="00F31CFB" w:rsidRDefault="00C17578" w:rsidP="00C17578">
      <w:pPr>
        <w:pStyle w:val="Heading2"/>
      </w:pPr>
      <w:bookmarkStart w:id="176" w:name="_Toc435460622"/>
      <w:bookmarkStart w:id="177" w:name="_Toc445973526"/>
      <w:r>
        <w:t>4.1</w:t>
      </w:r>
      <w:r w:rsidR="00F31CFB">
        <w:t xml:space="preserve"> Calculating the unit rate of support</w:t>
      </w:r>
      <w:bookmarkEnd w:id="176"/>
      <w:bookmarkEnd w:id="177"/>
    </w:p>
    <w:p w:rsidR="00D03B78" w:rsidRDefault="006C125F" w:rsidP="006C125F">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46</w:instrText>
      </w:r>
      <w:r>
        <w:fldChar w:fldCharType="end"/>
      </w:r>
      <w:r>
        <w:instrText>.</w:instrText>
      </w:r>
      <w:r>
        <w:tab/>
      </w:r>
      <w:r>
        <w:fldChar w:fldCharType="end"/>
      </w:r>
      <w:r w:rsidR="00D03B78">
        <w:t xml:space="preserve">To calculate FTCs, the </w:t>
      </w:r>
      <w:r w:rsidR="00D03B78" w:rsidRPr="00496BF7">
        <w:rPr>
          <w:i/>
        </w:rPr>
        <w:t>unit rate of support</w:t>
      </w:r>
      <w:r w:rsidR="00D03B78">
        <w:t xml:space="preserve"> as the difference between the price paid </w:t>
      </w:r>
      <w:r>
        <w:t>by the average household user for automotive diesel fuel</w:t>
      </w:r>
      <w:r w:rsidR="00D03B78">
        <w:t xml:space="preserve"> and the price paid by </w:t>
      </w:r>
      <w:r>
        <w:t>fishers</w:t>
      </w:r>
      <w:r w:rsidR="00D03B78">
        <w:t xml:space="preserve">. This unit rate of support is multiplied by the total amount purchased to arrive at the total value of the transfer (Figure 4.1). </w:t>
      </w:r>
      <w:r>
        <w:t>This</w:t>
      </w:r>
      <w:r w:rsidR="00D03B78">
        <w:t xml:space="preserve"> unit </w:t>
      </w:r>
      <w:r w:rsidR="00D03B78">
        <w:lastRenderedPageBreak/>
        <w:t xml:space="preserve">rate of support is </w:t>
      </w:r>
      <w:r>
        <w:t xml:space="preserve">usually </w:t>
      </w:r>
      <w:r w:rsidR="00D03B78">
        <w:t xml:space="preserve">measured using information regarding the excise tax </w:t>
      </w:r>
      <w:r>
        <w:t xml:space="preserve">rate </w:t>
      </w:r>
      <w:r w:rsidR="00D03B78">
        <w:t>for the relevant fuel and the exemption provided fishers</w:t>
      </w:r>
      <w:r>
        <w:t xml:space="preserve"> as </w:t>
      </w:r>
      <w:r w:rsidR="00DA5854">
        <w:t>found in tax legislation</w:t>
      </w:r>
      <w:r w:rsidR="00D03B78">
        <w:t>.</w:t>
      </w:r>
      <w:r w:rsidR="00D03B78">
        <w:rPr>
          <w:rStyle w:val="FootnoteReference"/>
        </w:rPr>
        <w:footnoteReference w:id="2"/>
      </w:r>
      <w:r w:rsidR="00D03B78">
        <w:t xml:space="preserve"> </w:t>
      </w:r>
    </w:p>
    <w:p w:rsidR="00204375" w:rsidRDefault="00204375" w:rsidP="00204375">
      <w:pPr>
        <w:pStyle w:val="FigureTitle"/>
      </w:pPr>
      <w:r>
        <w:t>Figure 4.1: Calculation of a transfer generated by a fuel tax concession</w:t>
      </w:r>
      <w:r>
        <w:fldChar w:fldCharType="begin"/>
      </w:r>
      <w:r>
        <w:instrText xml:space="preserve"> TC \f f \l 2 "</w:instrText>
      </w:r>
      <w:bookmarkStart w:id="178" w:name="_Toc445973716"/>
      <w:r>
        <w:instrText>Figure 4.1: Calculation of a transfer generated by a fuel tax concession</w:instrText>
      </w:r>
      <w:bookmarkEnd w:id="178"/>
      <w:r>
        <w:instrText xml:space="preserve">"  </w:instrText>
      </w:r>
      <w:r>
        <w:fldChar w:fldCharType="end"/>
      </w:r>
    </w:p>
    <w:p w:rsidR="00D03B78" w:rsidRDefault="00D03B78" w:rsidP="006D2EA9">
      <w:pPr>
        <w:pStyle w:val="Graphic"/>
      </w:pPr>
      <w:r>
        <w:rPr>
          <w:noProof/>
          <w:lang w:eastAsia="en-GB"/>
        </w:rPr>
        <w:drawing>
          <wp:inline distT="0" distB="0" distL="0" distR="0" wp14:anchorId="784E6160" wp14:editId="71FAA0C0">
            <wp:extent cx="5737860" cy="39090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7860" cy="3909060"/>
                    </a:xfrm>
                    <a:prstGeom prst="rect">
                      <a:avLst/>
                    </a:prstGeom>
                    <a:noFill/>
                    <a:ln>
                      <a:noFill/>
                    </a:ln>
                  </pic:spPr>
                </pic:pic>
              </a:graphicData>
            </a:graphic>
          </wp:inline>
        </w:drawing>
      </w:r>
    </w:p>
    <w:p w:rsidR="00F31CFB" w:rsidRDefault="00C17578" w:rsidP="00C17578">
      <w:pPr>
        <w:pStyle w:val="Heading2"/>
      </w:pPr>
      <w:bookmarkStart w:id="179" w:name="_Toc435460623"/>
      <w:bookmarkStart w:id="180" w:name="_Toc445973527"/>
      <w:r>
        <w:t>4.</w:t>
      </w:r>
      <w:r w:rsidR="00F31CFB">
        <w:t>2 Calculating quantity of fuel used by fishers</w:t>
      </w:r>
      <w:bookmarkEnd w:id="179"/>
      <w:bookmarkEnd w:id="180"/>
    </w:p>
    <w:p w:rsidR="00D03B78" w:rsidRDefault="00F31CFB"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47</w:instrText>
      </w:r>
      <w:r>
        <w:fldChar w:fldCharType="end"/>
      </w:r>
      <w:r>
        <w:instrText>.</w:instrText>
      </w:r>
      <w:r>
        <w:tab/>
      </w:r>
      <w:r>
        <w:fldChar w:fldCharType="end"/>
      </w:r>
      <w:r w:rsidR="00D03B78" w:rsidRPr="00F31CFB">
        <w:t xml:space="preserve">The definition of transfer used in the FSE is transfers from governments to its own citizens, so the quantity of fuel to be used in this calculation is the amount of fuel purchased by domestic fishers in domestic ports. Fuelling abroad by domestic vessels and fuel purchased by vessels from other countries should not be included (Figure 4.2). The fact that fishers may take on fuel abroad and pay less or no tax is not </w:t>
      </w:r>
      <w:r w:rsidR="00CD7B52">
        <w:t>taken into account for</w:t>
      </w:r>
      <w:r w:rsidR="00D03B78" w:rsidRPr="00F31CFB">
        <w:t xml:space="preserve"> the estimate of FTCs in the FSE and does not affect its calculation.</w:t>
      </w:r>
    </w:p>
    <w:p w:rsidR="00204375" w:rsidRPr="00F31CFB" w:rsidRDefault="00204375" w:rsidP="00204375">
      <w:pPr>
        <w:pStyle w:val="FigureTitle"/>
      </w:pPr>
      <w:r>
        <w:lastRenderedPageBreak/>
        <w:t>Figure 4.2: Quantity purchased by domestic fishers in national ports</w:t>
      </w:r>
      <w:r>
        <w:fldChar w:fldCharType="begin"/>
      </w:r>
      <w:r>
        <w:instrText xml:space="preserve"> TC \f f \l 2 "</w:instrText>
      </w:r>
      <w:bookmarkStart w:id="181" w:name="_Toc445973717"/>
      <w:r>
        <w:instrText>Figure 4.2: Quantity purchased by domestic fishers in national ports</w:instrText>
      </w:r>
      <w:bookmarkEnd w:id="181"/>
      <w:r>
        <w:instrText xml:space="preserve">"  </w:instrText>
      </w:r>
      <w:r>
        <w:fldChar w:fldCharType="end"/>
      </w:r>
    </w:p>
    <w:p w:rsidR="00D03B78" w:rsidRDefault="00D03B78" w:rsidP="006D2EA9">
      <w:pPr>
        <w:pStyle w:val="Graphic"/>
      </w:pPr>
      <w:r>
        <w:rPr>
          <w:noProof/>
          <w:lang w:eastAsia="en-GB"/>
        </w:rPr>
        <w:drawing>
          <wp:inline distT="0" distB="0" distL="0" distR="0" wp14:anchorId="36F5CFC6" wp14:editId="0F30B9AC">
            <wp:extent cx="4000500" cy="28346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00500" cy="2834640"/>
                    </a:xfrm>
                    <a:prstGeom prst="rect">
                      <a:avLst/>
                    </a:prstGeom>
                    <a:noFill/>
                    <a:ln>
                      <a:noFill/>
                    </a:ln>
                  </pic:spPr>
                </pic:pic>
              </a:graphicData>
            </a:graphic>
          </wp:inline>
        </w:drawing>
      </w:r>
    </w:p>
    <w:p w:rsidR="007D0BB6" w:rsidRDefault="007D0BB6" w:rsidP="007D0BB6">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48</w:instrText>
      </w:r>
      <w:r>
        <w:fldChar w:fldCharType="end"/>
      </w:r>
      <w:r>
        <w:instrText>.</w:instrText>
      </w:r>
      <w:r>
        <w:tab/>
      </w:r>
      <w:r>
        <w:fldChar w:fldCharType="end"/>
      </w:r>
      <w:r w:rsidR="00D03B78">
        <w:t>There are a few approaches to estimating this quantity of fuel, and they involve a number of steps. Working on the demand side, total fuel consumption by the domestic fleet may be directly observed or estimated on the basis of number and size of vessels, days at sea, quantity landed or other instruments. Then the share of the total that was purchased at domestic ports would have to be estimated. This could be done for example on the basis of expert opinion.</w:t>
      </w:r>
    </w:p>
    <w:p w:rsidR="007D0BB6" w:rsidRDefault="007D0BB6" w:rsidP="007D0BB6">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49</w:instrText>
      </w:r>
      <w:r>
        <w:fldChar w:fldCharType="end"/>
      </w:r>
      <w:r>
        <w:instrText>.</w:instrText>
      </w:r>
      <w:r>
        <w:tab/>
      </w:r>
      <w:r>
        <w:fldChar w:fldCharType="end"/>
      </w:r>
      <w:r w:rsidRPr="007D0BB6">
        <w:t xml:space="preserve"> Working on the supply side, if the quantity of fuel deliveries to ports or domestic supplies of diesel for marine use is known, the share of this used by fishers can again be estimated using a variety of techniques. In either case, the quantity estimated is unlikely to be perfect, but taking an approach that is pragmatic, transparent and repeatable will still result in a useful indicator</w:t>
      </w:r>
      <w:r>
        <w:t>.</w:t>
      </w:r>
    </w:p>
    <w:p w:rsidR="007D0BB6" w:rsidRPr="007D0BB6" w:rsidRDefault="007D0BB6" w:rsidP="007D0BB6">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50</w:instrText>
      </w:r>
      <w:r>
        <w:fldChar w:fldCharType="end"/>
      </w:r>
      <w:r>
        <w:instrText>.</w:instrText>
      </w:r>
      <w:r>
        <w:tab/>
      </w:r>
      <w:r>
        <w:fldChar w:fldCharType="end"/>
      </w:r>
      <w:r w:rsidRPr="007D0BB6">
        <w:t>P</w:t>
      </w:r>
      <w:r w:rsidR="00D03B78" w:rsidRPr="007D0BB6">
        <w:t xml:space="preserve">ast efforts to measure fuel-tax concessions in fisheries used two methods to calculate the unit rate of support and as many as five different methods to calculate the fuel quantity. Having multiple approaches is fine, but the data sources and method must be clearly identified and verifiable. For some countries, the unit rate of support was calculated as the total value of the FTC divided by fuel consumed, which begs the question of how the total value was initially calculated. </w:t>
      </w:r>
    </w:p>
    <w:p w:rsidR="00D03B78" w:rsidRPr="007D0BB6" w:rsidRDefault="007D0BB6" w:rsidP="006D2EA9">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51</w:instrText>
      </w:r>
      <w:r>
        <w:fldChar w:fldCharType="end"/>
      </w:r>
      <w:r>
        <w:instrText>.</w:instrText>
      </w:r>
      <w:r>
        <w:tab/>
      </w:r>
      <w:r>
        <w:fldChar w:fldCharType="end"/>
      </w:r>
      <w:r w:rsidR="00D03B78" w:rsidRPr="007D0BB6">
        <w:t xml:space="preserve">For most countries, diesel fuel represents the great majority of total fuel consumption, with only small amounts of petrol or heavy fuels used by fishers. In cases wherein diesel represents 90% or greater of total consumption, other fuels can be ignored in the FTC calculation. Otherwise, the calculation described above should be performed separately for each fuel type. </w:t>
      </w:r>
    </w:p>
    <w:p w:rsidR="00D03B78" w:rsidRPr="00EF1424" w:rsidRDefault="002472E1" w:rsidP="002472E1">
      <w:pPr>
        <w:pStyle w:val="Heading1"/>
      </w:pPr>
      <w:r>
        <w:fldChar w:fldCharType="begin"/>
      </w:r>
      <w:r>
        <w:instrText xml:space="preserve"> MACROBUTTON NUMBERING </w:instrText>
      </w:r>
      <w:r>
        <w:fldChar w:fldCharType="begin"/>
      </w:r>
      <w:r>
        <w:instrText xml:space="preserve"> SEQ  cpara \h \r 0</w:instrText>
      </w:r>
      <w:r>
        <w:fldChar w:fldCharType="end"/>
      </w:r>
      <w:r>
        <w:fldChar w:fldCharType="begin"/>
      </w:r>
      <w:r>
        <w:instrText xml:space="preserve"> SEQ  ccount \h</w:instrText>
      </w:r>
      <w:r>
        <w:fldChar w:fldCharType="end"/>
      </w:r>
      <w:bookmarkStart w:id="182" w:name="_Toc435460625"/>
      <w:bookmarkStart w:id="183" w:name="_Toc445973528"/>
      <w:r>
        <w:fldChar w:fldCharType="end"/>
      </w:r>
      <w:r w:rsidR="00D03B78">
        <w:br w:type="page"/>
      </w:r>
      <w:bookmarkStart w:id="184" w:name="Chapter_5"/>
      <w:bookmarkStart w:id="185" w:name="_Toc203897776"/>
      <w:bookmarkStart w:id="186" w:name="_Toc203898450"/>
      <w:bookmarkStart w:id="187" w:name="_Toc272931557"/>
      <w:bookmarkStart w:id="188" w:name="_Toc273007859"/>
      <w:bookmarkStart w:id="189" w:name="_Toc361730699"/>
      <w:r w:rsidR="00D03B78" w:rsidRPr="00EF1424">
        <w:lastRenderedPageBreak/>
        <w:t>Chapter 5</w:t>
      </w:r>
      <w:r w:rsidR="00D03B78" w:rsidRPr="00EF1424">
        <w:br/>
      </w:r>
      <w:r w:rsidR="00D03B78" w:rsidRPr="00EF1424">
        <w:br/>
        <w:t xml:space="preserve">Estimating policy transfers: </w:t>
      </w:r>
      <w:r w:rsidR="00D03B78" w:rsidRPr="00EF1424">
        <w:br/>
      </w:r>
      <w:r w:rsidR="00D03B78">
        <w:t>Budgetary</w:t>
      </w:r>
      <w:r w:rsidR="00D03B78" w:rsidRPr="00EF1424">
        <w:t xml:space="preserve"> transfers</w:t>
      </w:r>
      <w:bookmarkEnd w:id="182"/>
      <w:bookmarkEnd w:id="183"/>
      <w:bookmarkEnd w:id="184"/>
      <w:bookmarkEnd w:id="185"/>
      <w:bookmarkEnd w:id="186"/>
      <w:bookmarkEnd w:id="187"/>
      <w:bookmarkEnd w:id="188"/>
      <w:bookmarkEnd w:id="189"/>
    </w:p>
    <w:p w:rsidR="007D0BB6" w:rsidRDefault="007D0BB6" w:rsidP="007D0BB6">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52</w:instrText>
      </w:r>
      <w:r>
        <w:fldChar w:fldCharType="end"/>
      </w:r>
      <w:r>
        <w:instrText>.</w:instrText>
      </w:r>
      <w:r>
        <w:tab/>
      </w:r>
      <w:r>
        <w:fldChar w:fldCharType="end"/>
      </w:r>
      <w:r w:rsidRPr="007D0BB6">
        <w:t xml:space="preserve"> </w:t>
      </w:r>
      <w:r w:rsidRPr="00EF1424">
        <w:t xml:space="preserve">This chapter completes the discussion of policy transfers, focusing on transfers that emerge from </w:t>
      </w:r>
      <w:r>
        <w:t>budgetary policies.</w:t>
      </w:r>
    </w:p>
    <w:p w:rsidR="00D03B78" w:rsidRPr="007D0BB6" w:rsidRDefault="007D0BB6" w:rsidP="007D0BB6">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53</w:instrText>
      </w:r>
      <w:r>
        <w:fldChar w:fldCharType="end"/>
      </w:r>
      <w:r>
        <w:instrText>.</w:instrText>
      </w:r>
      <w:r>
        <w:tab/>
      </w:r>
      <w:r>
        <w:fldChar w:fldCharType="end"/>
      </w:r>
      <w:r w:rsidR="00D03B78" w:rsidRPr="007D0BB6">
        <w:t xml:space="preserve">Budgetary transfers are the most “visible” policy transfers. They are observed and need not be estimated as is the case with fuel </w:t>
      </w:r>
      <w:r w:rsidR="00356904" w:rsidRPr="007D0BB6">
        <w:t>price differentials</w:t>
      </w:r>
      <w:r w:rsidR="00D03B78" w:rsidRPr="007D0BB6">
        <w:t>. The measurement of direct budgetary transfers is an accounting task, which consists of the appropriate use of information on budgetary spending. This section details the main procedures for accounting for budgetary transfers in support estimation.</w:t>
      </w:r>
    </w:p>
    <w:p w:rsidR="00D03B78" w:rsidRPr="009D1F8E" w:rsidRDefault="00D03B78" w:rsidP="00BC6EC0">
      <w:pPr>
        <w:pStyle w:val="Heading2"/>
      </w:pPr>
      <w:bookmarkStart w:id="190" w:name="_Toc176623261"/>
      <w:bookmarkStart w:id="191" w:name="_Toc176630008"/>
      <w:bookmarkStart w:id="192" w:name="_Toc178591987"/>
      <w:bookmarkStart w:id="193" w:name="_Toc203897778"/>
      <w:bookmarkStart w:id="194" w:name="_Toc203898452"/>
      <w:bookmarkStart w:id="195" w:name="_Toc272931559"/>
      <w:bookmarkStart w:id="196" w:name="_Toc273007861"/>
      <w:bookmarkStart w:id="197" w:name="_Toc361730701"/>
      <w:bookmarkStart w:id="198" w:name="_Toc435460626"/>
      <w:bookmarkStart w:id="199" w:name="_Toc445973529"/>
      <w:r w:rsidRPr="009D1F8E">
        <w:t>5.1.</w:t>
      </w:r>
      <w:r w:rsidRPr="009D1F8E">
        <w:tab/>
        <w:t>Complete coverage of institutions, administrative levels and financing instruments</w:t>
      </w:r>
      <w:bookmarkEnd w:id="190"/>
      <w:bookmarkEnd w:id="191"/>
      <w:bookmarkEnd w:id="192"/>
      <w:bookmarkEnd w:id="193"/>
      <w:bookmarkEnd w:id="194"/>
      <w:bookmarkEnd w:id="195"/>
      <w:bookmarkEnd w:id="196"/>
      <w:bookmarkEnd w:id="197"/>
      <w:bookmarkEnd w:id="198"/>
      <w:bookmarkEnd w:id="199"/>
    </w:p>
    <w:p w:rsidR="00D03B78" w:rsidRPr="00EF1424" w:rsidRDefault="00D03B78" w:rsidP="006D2EA9">
      <w:pPr>
        <w:pStyle w:val="Num-DocParagraph"/>
        <w:rPr>
          <w:sz w:val="21"/>
          <w:szCs w:val="21"/>
        </w:rPr>
      </w:pPr>
      <w:r w:rsidRPr="00EF1424">
        <w:rPr>
          <w:sz w:val="21"/>
          <w:szCs w:val="21"/>
        </w:rPr>
        <w:fldChar w:fldCharType="begin"/>
      </w:r>
      <w:r w:rsidRPr="00EF1424">
        <w:rPr>
          <w:sz w:val="21"/>
          <w:szCs w:val="21"/>
        </w:rPr>
        <w:instrText xml:space="preserve"> MACROBUTTON NUMBERING </w:instrText>
      </w:r>
      <w:r w:rsidRPr="00EF1424">
        <w:rPr>
          <w:sz w:val="21"/>
          <w:szCs w:val="21"/>
        </w:rPr>
        <w:fldChar w:fldCharType="begin"/>
      </w:r>
      <w:r w:rsidRPr="00EF1424">
        <w:rPr>
          <w:sz w:val="21"/>
          <w:szCs w:val="21"/>
        </w:rPr>
        <w:instrText xml:space="preserve"> SEQ  dpara</w:instrText>
      </w:r>
      <w:r w:rsidRPr="00EF1424">
        <w:rPr>
          <w:sz w:val="21"/>
          <w:szCs w:val="21"/>
        </w:rPr>
        <w:fldChar w:fldCharType="separate"/>
      </w:r>
      <w:r w:rsidR="0042183E">
        <w:rPr>
          <w:noProof/>
          <w:sz w:val="21"/>
          <w:szCs w:val="21"/>
        </w:rPr>
        <w:instrText>54</w:instrText>
      </w:r>
      <w:r w:rsidRPr="00EF1424">
        <w:rPr>
          <w:sz w:val="21"/>
          <w:szCs w:val="21"/>
        </w:rPr>
        <w:fldChar w:fldCharType="end"/>
      </w:r>
      <w:r w:rsidRPr="00EF1424">
        <w:rPr>
          <w:sz w:val="21"/>
          <w:szCs w:val="21"/>
        </w:rPr>
        <w:instrText>.</w:instrText>
      </w:r>
      <w:r w:rsidRPr="00EF1424">
        <w:rPr>
          <w:sz w:val="21"/>
          <w:szCs w:val="21"/>
        </w:rPr>
        <w:tab/>
      </w:r>
      <w:r w:rsidRPr="00EF1424">
        <w:rPr>
          <w:sz w:val="21"/>
          <w:szCs w:val="21"/>
        </w:rPr>
        <w:fldChar w:fldCharType="end"/>
      </w:r>
      <w:r w:rsidRPr="00EF1424">
        <w:rPr>
          <w:sz w:val="21"/>
          <w:szCs w:val="21"/>
        </w:rPr>
        <w:t xml:space="preserve">The first step is to identify all budgetary expenditures underlying policies </w:t>
      </w:r>
      <w:r>
        <w:rPr>
          <w:sz w:val="21"/>
          <w:szCs w:val="21"/>
        </w:rPr>
        <w:t xml:space="preserve">that </w:t>
      </w:r>
      <w:r w:rsidRPr="00EF1424">
        <w:rPr>
          <w:sz w:val="21"/>
          <w:szCs w:val="21"/>
        </w:rPr>
        <w:t xml:space="preserve">support </w:t>
      </w:r>
      <w:r>
        <w:rPr>
          <w:sz w:val="21"/>
          <w:szCs w:val="21"/>
        </w:rPr>
        <w:t>fisheries</w:t>
      </w:r>
      <w:r w:rsidRPr="00EF1424">
        <w:rPr>
          <w:sz w:val="21"/>
          <w:szCs w:val="21"/>
        </w:rPr>
        <w:t xml:space="preserve"> – whether provided to </w:t>
      </w:r>
      <w:r>
        <w:rPr>
          <w:sz w:val="21"/>
          <w:szCs w:val="21"/>
        </w:rPr>
        <w:t>fishers</w:t>
      </w:r>
      <w:r w:rsidRPr="00EF1424">
        <w:rPr>
          <w:sz w:val="21"/>
          <w:szCs w:val="21"/>
        </w:rPr>
        <w:t xml:space="preserve"> individually</w:t>
      </w:r>
      <w:r>
        <w:rPr>
          <w:sz w:val="21"/>
          <w:szCs w:val="21"/>
        </w:rPr>
        <w:t xml:space="preserve"> or collectively</w:t>
      </w:r>
      <w:r w:rsidRPr="00EF1424">
        <w:rPr>
          <w:sz w:val="21"/>
          <w:szCs w:val="21"/>
        </w:rPr>
        <w:t>. The principle of complete identification of all publicly financed transfers has thre</w:t>
      </w:r>
      <w:r>
        <w:rPr>
          <w:sz w:val="21"/>
          <w:szCs w:val="21"/>
        </w:rPr>
        <w:t>e aspects.</w:t>
      </w:r>
    </w:p>
    <w:p w:rsidR="00D03B78" w:rsidRPr="00EF1424" w:rsidRDefault="00D03B78" w:rsidP="006D2EA9">
      <w:pPr>
        <w:pStyle w:val="ListBullet"/>
        <w:tabs>
          <w:tab w:val="clear" w:pos="850"/>
          <w:tab w:val="num" w:pos="567"/>
        </w:tabs>
        <w:spacing w:after="120"/>
        <w:ind w:left="567" w:hanging="283"/>
        <w:rPr>
          <w:sz w:val="21"/>
          <w:szCs w:val="21"/>
        </w:rPr>
      </w:pPr>
      <w:r w:rsidRPr="00EF1424">
        <w:rPr>
          <w:sz w:val="21"/>
          <w:szCs w:val="21"/>
        </w:rPr>
        <w:t xml:space="preserve">First, all financing through public institutions involved should be captured, paying attention to the fact that implementation and funding of some </w:t>
      </w:r>
      <w:r>
        <w:rPr>
          <w:sz w:val="21"/>
          <w:szCs w:val="21"/>
        </w:rPr>
        <w:t>fisheries</w:t>
      </w:r>
      <w:r w:rsidRPr="00EF1424">
        <w:rPr>
          <w:sz w:val="21"/>
          <w:szCs w:val="21"/>
        </w:rPr>
        <w:t xml:space="preserve"> measures may be outside the remit of </w:t>
      </w:r>
      <w:r>
        <w:rPr>
          <w:sz w:val="21"/>
          <w:szCs w:val="21"/>
        </w:rPr>
        <w:t>fisheries</w:t>
      </w:r>
      <w:r w:rsidRPr="00EF1424">
        <w:rPr>
          <w:sz w:val="21"/>
          <w:szCs w:val="21"/>
        </w:rPr>
        <w:t xml:space="preserve"> ministries. This often concerns general services for </w:t>
      </w:r>
      <w:r>
        <w:rPr>
          <w:sz w:val="21"/>
          <w:szCs w:val="21"/>
        </w:rPr>
        <w:t>fisheries</w:t>
      </w:r>
      <w:r w:rsidRPr="00EF1424">
        <w:rPr>
          <w:sz w:val="21"/>
          <w:szCs w:val="21"/>
        </w:rPr>
        <w:t>, such as education, research, or infrastructural development. Another example is environmental measures, which may be implemented by and financed through the ministries and agencies specifically responsible for environmental issues.</w:t>
      </w:r>
    </w:p>
    <w:p w:rsidR="00D03B78" w:rsidRPr="00EF1424" w:rsidRDefault="00D03B78" w:rsidP="006D2EA9">
      <w:pPr>
        <w:pStyle w:val="ListBullet"/>
        <w:tabs>
          <w:tab w:val="clear" w:pos="850"/>
          <w:tab w:val="num" w:pos="567"/>
        </w:tabs>
        <w:spacing w:after="120"/>
        <w:ind w:left="567" w:hanging="283"/>
        <w:rPr>
          <w:sz w:val="21"/>
          <w:szCs w:val="21"/>
        </w:rPr>
      </w:pPr>
      <w:r w:rsidRPr="00EF1424">
        <w:rPr>
          <w:sz w:val="21"/>
          <w:szCs w:val="21"/>
        </w:rPr>
        <w:t xml:space="preserve">Second, funding from all administrative levels should be covered. </w:t>
      </w:r>
      <w:r>
        <w:rPr>
          <w:sz w:val="21"/>
          <w:szCs w:val="21"/>
        </w:rPr>
        <w:t>Fisheries</w:t>
      </w:r>
      <w:r w:rsidRPr="00EF1424">
        <w:rPr>
          <w:sz w:val="21"/>
          <w:szCs w:val="21"/>
        </w:rPr>
        <w:t xml:space="preserve"> policy measures are financed at multiple levels of government. For example, in a country with a federal government structure, support from national as well as state, provinc</w:t>
      </w:r>
      <w:r>
        <w:rPr>
          <w:sz w:val="21"/>
          <w:szCs w:val="21"/>
        </w:rPr>
        <w:t>ial</w:t>
      </w:r>
      <w:r w:rsidRPr="00EF1424">
        <w:rPr>
          <w:sz w:val="21"/>
          <w:szCs w:val="21"/>
        </w:rPr>
        <w:t xml:space="preserve"> or prefecture level</w:t>
      </w:r>
      <w:r>
        <w:rPr>
          <w:sz w:val="21"/>
          <w:szCs w:val="21"/>
        </w:rPr>
        <w:t>s</w:t>
      </w:r>
      <w:r w:rsidRPr="00EF1424">
        <w:rPr>
          <w:sz w:val="21"/>
          <w:szCs w:val="21"/>
        </w:rPr>
        <w:t xml:space="preserve"> should be covered, as well as measures that are financed more locally, for example from counties, communes or townships. By convention, all expenditures beneath the national level are termed </w:t>
      </w:r>
      <w:r w:rsidRPr="00EF1424">
        <w:rPr>
          <w:i/>
          <w:sz w:val="21"/>
          <w:szCs w:val="21"/>
        </w:rPr>
        <w:t>sub-national</w:t>
      </w:r>
      <w:r w:rsidRPr="00EF1424">
        <w:rPr>
          <w:sz w:val="21"/>
          <w:szCs w:val="21"/>
        </w:rPr>
        <w:t xml:space="preserve">. Also by convention, EU-level expenditures are considered as the national level, with EU </w:t>
      </w:r>
      <w:r>
        <w:rPr>
          <w:sz w:val="21"/>
          <w:szCs w:val="21"/>
        </w:rPr>
        <w:t xml:space="preserve">Member State </w:t>
      </w:r>
      <w:r w:rsidRPr="00EF1424">
        <w:rPr>
          <w:sz w:val="21"/>
          <w:szCs w:val="21"/>
        </w:rPr>
        <w:t>expenditures (including those made at regional levels) as at the sub-na</w:t>
      </w:r>
      <w:r>
        <w:rPr>
          <w:sz w:val="21"/>
          <w:szCs w:val="21"/>
        </w:rPr>
        <w:t>tional level. Some EU policies</w:t>
      </w:r>
      <w:r w:rsidRPr="00EF1424">
        <w:rPr>
          <w:sz w:val="21"/>
          <w:szCs w:val="21"/>
        </w:rPr>
        <w:t xml:space="preserve"> are co-financed across several levels of government, with the EU budget financing part of the costs of a programme, augmented by expenditure from an EU </w:t>
      </w:r>
      <w:r>
        <w:rPr>
          <w:sz w:val="21"/>
          <w:szCs w:val="21"/>
        </w:rPr>
        <w:t xml:space="preserve">Member State </w:t>
      </w:r>
      <w:r w:rsidRPr="00EF1424">
        <w:rPr>
          <w:sz w:val="21"/>
          <w:szCs w:val="21"/>
        </w:rPr>
        <w:t xml:space="preserve">government’s budget, with the possibility of additional expenditure by a regional or local government entity within that </w:t>
      </w:r>
      <w:r>
        <w:rPr>
          <w:sz w:val="21"/>
          <w:szCs w:val="21"/>
        </w:rPr>
        <w:t>Member State</w:t>
      </w:r>
      <w:r w:rsidRPr="00EF1424">
        <w:rPr>
          <w:sz w:val="21"/>
          <w:szCs w:val="21"/>
        </w:rPr>
        <w:t xml:space="preserve">. </w:t>
      </w:r>
    </w:p>
    <w:p w:rsidR="00D03B78" w:rsidRPr="00EF1424" w:rsidRDefault="00D03B78" w:rsidP="006D2EA9">
      <w:pPr>
        <w:pStyle w:val="ListBullet"/>
        <w:tabs>
          <w:tab w:val="clear" w:pos="850"/>
          <w:tab w:val="num" w:pos="567"/>
        </w:tabs>
        <w:spacing w:after="120"/>
        <w:ind w:left="567" w:hanging="283"/>
        <w:rPr>
          <w:sz w:val="21"/>
          <w:szCs w:val="21"/>
        </w:rPr>
      </w:pPr>
      <w:r w:rsidRPr="00EF1424">
        <w:rPr>
          <w:sz w:val="21"/>
          <w:szCs w:val="21"/>
        </w:rPr>
        <w:t xml:space="preserve">Third, all public finance instruments should be covered. In some </w:t>
      </w:r>
      <w:r>
        <w:rPr>
          <w:sz w:val="21"/>
          <w:szCs w:val="21"/>
        </w:rPr>
        <w:t>non-OECD countries, for example</w:t>
      </w:r>
      <w:r w:rsidRPr="00EF1424">
        <w:rPr>
          <w:sz w:val="21"/>
          <w:szCs w:val="21"/>
        </w:rPr>
        <w:t xml:space="preserve">, </w:t>
      </w:r>
      <w:r>
        <w:rPr>
          <w:sz w:val="21"/>
          <w:szCs w:val="21"/>
        </w:rPr>
        <w:t>fisheries</w:t>
      </w:r>
      <w:r w:rsidRPr="00EF1424">
        <w:rPr>
          <w:sz w:val="21"/>
          <w:szCs w:val="21"/>
        </w:rPr>
        <w:t xml:space="preserve"> support may also be financed from the so-called extra-budget funds – instruments </w:t>
      </w:r>
      <w:r>
        <w:rPr>
          <w:sz w:val="21"/>
          <w:szCs w:val="21"/>
        </w:rPr>
        <w:t xml:space="preserve">that </w:t>
      </w:r>
      <w:r w:rsidRPr="00EF1424">
        <w:rPr>
          <w:sz w:val="21"/>
          <w:szCs w:val="21"/>
        </w:rPr>
        <w:t>do not formally constitute part of the national budgets. Such funds may be created at the national or regional level and are usually used for implementation of specific programmes.</w:t>
      </w:r>
    </w:p>
    <w:p w:rsidR="00D03B78" w:rsidRPr="009D1F8E" w:rsidRDefault="00D03B78" w:rsidP="00BC6EC0">
      <w:pPr>
        <w:pStyle w:val="Heading2"/>
      </w:pPr>
      <w:bookmarkStart w:id="200" w:name="_Toc176623262"/>
      <w:bookmarkStart w:id="201" w:name="_Toc176630009"/>
      <w:bookmarkStart w:id="202" w:name="_Toc178591988"/>
      <w:bookmarkStart w:id="203" w:name="_Toc203897779"/>
      <w:bookmarkStart w:id="204" w:name="_Toc203898453"/>
      <w:bookmarkStart w:id="205" w:name="_Toc272931560"/>
      <w:bookmarkStart w:id="206" w:name="_Toc273007862"/>
      <w:bookmarkStart w:id="207" w:name="_Toc361730702"/>
      <w:bookmarkStart w:id="208" w:name="_Toc435460627"/>
      <w:bookmarkStart w:id="209" w:name="_Toc445973530"/>
      <w:r w:rsidRPr="009D1F8E">
        <w:t>5.2.</w:t>
      </w:r>
      <w:r w:rsidRPr="009D1F8E">
        <w:tab/>
        <w:t>Accounting of effectively disbursed funds</w:t>
      </w:r>
      <w:bookmarkEnd w:id="200"/>
      <w:bookmarkEnd w:id="201"/>
      <w:bookmarkEnd w:id="202"/>
      <w:bookmarkEnd w:id="203"/>
      <w:bookmarkEnd w:id="204"/>
      <w:bookmarkEnd w:id="205"/>
      <w:bookmarkEnd w:id="206"/>
      <w:bookmarkEnd w:id="207"/>
      <w:bookmarkEnd w:id="208"/>
      <w:bookmarkEnd w:id="209"/>
    </w:p>
    <w:p w:rsidR="00D03B78" w:rsidRPr="00EF1424" w:rsidRDefault="00D03B78" w:rsidP="006D2EA9">
      <w:pPr>
        <w:pStyle w:val="Num-DocParagraph"/>
        <w:rPr>
          <w:sz w:val="21"/>
          <w:szCs w:val="21"/>
        </w:rPr>
      </w:pPr>
      <w:r w:rsidRPr="00EF1424">
        <w:rPr>
          <w:sz w:val="21"/>
          <w:szCs w:val="21"/>
        </w:rPr>
        <w:fldChar w:fldCharType="begin"/>
      </w:r>
      <w:r w:rsidRPr="00EF1424">
        <w:rPr>
          <w:sz w:val="21"/>
          <w:szCs w:val="21"/>
        </w:rPr>
        <w:instrText xml:space="preserve"> MACROBUTTON NUMBERING </w:instrText>
      </w:r>
      <w:r w:rsidRPr="00EF1424">
        <w:rPr>
          <w:sz w:val="21"/>
          <w:szCs w:val="21"/>
        </w:rPr>
        <w:fldChar w:fldCharType="begin"/>
      </w:r>
      <w:r w:rsidRPr="00EF1424">
        <w:rPr>
          <w:sz w:val="21"/>
          <w:szCs w:val="21"/>
        </w:rPr>
        <w:instrText xml:space="preserve"> SEQ  dpara</w:instrText>
      </w:r>
      <w:r w:rsidRPr="00EF1424">
        <w:rPr>
          <w:sz w:val="21"/>
          <w:szCs w:val="21"/>
        </w:rPr>
        <w:fldChar w:fldCharType="separate"/>
      </w:r>
      <w:r w:rsidR="0042183E">
        <w:rPr>
          <w:noProof/>
          <w:sz w:val="21"/>
          <w:szCs w:val="21"/>
        </w:rPr>
        <w:instrText>55</w:instrText>
      </w:r>
      <w:r w:rsidRPr="00EF1424">
        <w:rPr>
          <w:sz w:val="21"/>
          <w:szCs w:val="21"/>
        </w:rPr>
        <w:fldChar w:fldCharType="end"/>
      </w:r>
      <w:r w:rsidRPr="00EF1424">
        <w:rPr>
          <w:sz w:val="21"/>
          <w:szCs w:val="21"/>
        </w:rPr>
        <w:instrText>.</w:instrText>
      </w:r>
      <w:r w:rsidRPr="00EF1424">
        <w:rPr>
          <w:sz w:val="21"/>
          <w:szCs w:val="21"/>
        </w:rPr>
        <w:tab/>
      </w:r>
      <w:r w:rsidRPr="00EF1424">
        <w:rPr>
          <w:sz w:val="21"/>
          <w:szCs w:val="21"/>
        </w:rPr>
        <w:fldChar w:fldCharType="end"/>
      </w:r>
      <w:r w:rsidRPr="00EF1424">
        <w:rPr>
          <w:sz w:val="21"/>
          <w:szCs w:val="21"/>
        </w:rPr>
        <w:t xml:space="preserve">Data on effectively disbursed – as opposed to planned or budgeted funds – should be used. The principle is to capture transfers that actually affect </w:t>
      </w:r>
      <w:r>
        <w:rPr>
          <w:sz w:val="21"/>
          <w:szCs w:val="21"/>
        </w:rPr>
        <w:t>fishers’</w:t>
      </w:r>
      <w:r w:rsidRPr="00EF1424">
        <w:rPr>
          <w:sz w:val="21"/>
          <w:szCs w:val="21"/>
        </w:rPr>
        <w:t xml:space="preserve"> revenues. The difference between budgeted and effectively disbursed outlays can be large, for example when emergency assistance is provided over and above t</w:t>
      </w:r>
      <w:r>
        <w:rPr>
          <w:sz w:val="21"/>
          <w:szCs w:val="21"/>
        </w:rPr>
        <w:t>he initial budget appropriation</w:t>
      </w:r>
      <w:r w:rsidRPr="00EF1424">
        <w:rPr>
          <w:sz w:val="21"/>
          <w:szCs w:val="21"/>
        </w:rPr>
        <w:t>. It is important to ensure that all spending items are accounted for consistently in terms of amounts effectively disbursed. However, if the estimations are done on an annual basis, such information may not be available in time for the latest year</w:t>
      </w:r>
      <w:r>
        <w:rPr>
          <w:sz w:val="21"/>
          <w:szCs w:val="21"/>
        </w:rPr>
        <w:t>.</w:t>
      </w:r>
      <w:r w:rsidRPr="00EF1424">
        <w:rPr>
          <w:sz w:val="21"/>
          <w:szCs w:val="21"/>
        </w:rPr>
        <w:t xml:space="preserve"> </w:t>
      </w:r>
      <w:r>
        <w:rPr>
          <w:sz w:val="21"/>
          <w:szCs w:val="21"/>
        </w:rPr>
        <w:t>I</w:t>
      </w:r>
      <w:r w:rsidRPr="00EF1424">
        <w:rPr>
          <w:sz w:val="21"/>
          <w:szCs w:val="21"/>
        </w:rPr>
        <w:t>n this case data on budgeted expenditures are used, which are then adjusted the following year to reflect actual spending.</w:t>
      </w:r>
    </w:p>
    <w:p w:rsidR="00D03B78" w:rsidRPr="009D1F8E" w:rsidRDefault="00D03B78" w:rsidP="00BC6EC0">
      <w:pPr>
        <w:pStyle w:val="Heading2"/>
      </w:pPr>
      <w:bookmarkStart w:id="210" w:name="_Toc176623263"/>
      <w:bookmarkStart w:id="211" w:name="_Toc176630010"/>
      <w:bookmarkStart w:id="212" w:name="_Toc178591989"/>
      <w:bookmarkStart w:id="213" w:name="_Toc203897780"/>
      <w:bookmarkStart w:id="214" w:name="_Toc203898454"/>
      <w:bookmarkStart w:id="215" w:name="_Toc272931561"/>
      <w:bookmarkStart w:id="216" w:name="_Toc273007863"/>
      <w:bookmarkStart w:id="217" w:name="_Toc361730703"/>
      <w:bookmarkStart w:id="218" w:name="_Toc435460628"/>
      <w:bookmarkStart w:id="219" w:name="_Toc445973531"/>
      <w:r w:rsidRPr="009D1F8E">
        <w:lastRenderedPageBreak/>
        <w:t>5.3.</w:t>
      </w:r>
      <w:r w:rsidRPr="009D1F8E">
        <w:tab/>
        <w:t>Treatment of policy-administration costs</w:t>
      </w:r>
      <w:bookmarkEnd w:id="210"/>
      <w:bookmarkEnd w:id="211"/>
      <w:bookmarkEnd w:id="212"/>
      <w:bookmarkEnd w:id="213"/>
      <w:bookmarkEnd w:id="214"/>
      <w:bookmarkEnd w:id="215"/>
      <w:bookmarkEnd w:id="216"/>
      <w:bookmarkEnd w:id="217"/>
      <w:bookmarkEnd w:id="218"/>
      <w:bookmarkEnd w:id="219"/>
    </w:p>
    <w:p w:rsidR="00D03B78" w:rsidRPr="00EF1424" w:rsidRDefault="00D03B78" w:rsidP="006D2EA9">
      <w:pPr>
        <w:pStyle w:val="Num-DocParagraph"/>
        <w:spacing w:after="120"/>
        <w:rPr>
          <w:sz w:val="21"/>
          <w:szCs w:val="21"/>
        </w:rPr>
      </w:pPr>
      <w:r w:rsidRPr="00EF1424">
        <w:rPr>
          <w:sz w:val="21"/>
          <w:szCs w:val="21"/>
        </w:rPr>
        <w:fldChar w:fldCharType="begin"/>
      </w:r>
      <w:r w:rsidRPr="00EF1424">
        <w:rPr>
          <w:sz w:val="21"/>
          <w:szCs w:val="21"/>
        </w:rPr>
        <w:instrText xml:space="preserve"> MACROBUTTON NUMBERING </w:instrText>
      </w:r>
      <w:r w:rsidRPr="00EF1424">
        <w:rPr>
          <w:sz w:val="21"/>
          <w:szCs w:val="21"/>
        </w:rPr>
        <w:fldChar w:fldCharType="begin"/>
      </w:r>
      <w:r w:rsidRPr="00EF1424">
        <w:rPr>
          <w:sz w:val="21"/>
          <w:szCs w:val="21"/>
        </w:rPr>
        <w:instrText xml:space="preserve"> SEQ  dpara</w:instrText>
      </w:r>
      <w:r w:rsidRPr="00EF1424">
        <w:rPr>
          <w:sz w:val="21"/>
          <w:szCs w:val="21"/>
        </w:rPr>
        <w:fldChar w:fldCharType="separate"/>
      </w:r>
      <w:r w:rsidR="0042183E">
        <w:rPr>
          <w:noProof/>
          <w:sz w:val="21"/>
          <w:szCs w:val="21"/>
        </w:rPr>
        <w:instrText>56</w:instrText>
      </w:r>
      <w:r w:rsidRPr="00EF1424">
        <w:rPr>
          <w:sz w:val="21"/>
          <w:szCs w:val="21"/>
        </w:rPr>
        <w:fldChar w:fldCharType="end"/>
      </w:r>
      <w:r w:rsidRPr="00EF1424">
        <w:rPr>
          <w:sz w:val="21"/>
          <w:szCs w:val="21"/>
        </w:rPr>
        <w:instrText>.</w:instrText>
      </w:r>
      <w:r w:rsidRPr="00EF1424">
        <w:rPr>
          <w:sz w:val="21"/>
          <w:szCs w:val="21"/>
        </w:rPr>
        <w:tab/>
      </w:r>
      <w:r w:rsidRPr="00EF1424">
        <w:rPr>
          <w:sz w:val="21"/>
          <w:szCs w:val="21"/>
        </w:rPr>
        <w:fldChar w:fldCharType="end"/>
      </w:r>
      <w:r w:rsidRPr="00EF1424">
        <w:rPr>
          <w:sz w:val="21"/>
          <w:szCs w:val="21"/>
        </w:rPr>
        <w:t xml:space="preserve">Administration costs include those associated with the design, implementation and evaluation of </w:t>
      </w:r>
      <w:r>
        <w:rPr>
          <w:sz w:val="21"/>
          <w:szCs w:val="21"/>
        </w:rPr>
        <w:t>fisheries</w:t>
      </w:r>
      <w:r w:rsidRPr="00EF1424">
        <w:rPr>
          <w:sz w:val="21"/>
          <w:szCs w:val="21"/>
        </w:rPr>
        <w:t xml:space="preserve"> policies. It is important to distinguish different types of budgetary expenditures related to </w:t>
      </w:r>
      <w:r>
        <w:rPr>
          <w:sz w:val="21"/>
          <w:szCs w:val="21"/>
        </w:rPr>
        <w:t xml:space="preserve">the </w:t>
      </w:r>
      <w:r w:rsidRPr="00EF1424">
        <w:rPr>
          <w:sz w:val="21"/>
          <w:szCs w:val="21"/>
        </w:rPr>
        <w:t xml:space="preserve">administration of </w:t>
      </w:r>
      <w:r>
        <w:rPr>
          <w:sz w:val="21"/>
          <w:szCs w:val="21"/>
        </w:rPr>
        <w:t>fisheries</w:t>
      </w:r>
      <w:r w:rsidRPr="00EF1424">
        <w:rPr>
          <w:sz w:val="21"/>
          <w:szCs w:val="21"/>
        </w:rPr>
        <w:t xml:space="preserve"> policies:</w:t>
      </w:r>
    </w:p>
    <w:p w:rsidR="00D03B78" w:rsidRPr="00EF1424" w:rsidRDefault="00D03B78" w:rsidP="006D2EA9">
      <w:pPr>
        <w:pStyle w:val="ListBullet"/>
        <w:tabs>
          <w:tab w:val="clear" w:pos="850"/>
          <w:tab w:val="num" w:pos="567"/>
        </w:tabs>
        <w:spacing w:after="120"/>
        <w:ind w:left="567" w:hanging="283"/>
        <w:rPr>
          <w:sz w:val="21"/>
          <w:szCs w:val="21"/>
        </w:rPr>
      </w:pPr>
      <w:r w:rsidRPr="00EF1424">
        <w:rPr>
          <w:sz w:val="21"/>
          <w:szCs w:val="21"/>
        </w:rPr>
        <w:t>Administrative expenditures by ministries, including staff salaries, material, building and other costs.</w:t>
      </w:r>
    </w:p>
    <w:p w:rsidR="00D03B78" w:rsidRPr="00EF1424" w:rsidRDefault="00D03B78" w:rsidP="006D2EA9">
      <w:pPr>
        <w:pStyle w:val="ListBullet"/>
        <w:tabs>
          <w:tab w:val="clear" w:pos="850"/>
          <w:tab w:val="num" w:pos="567"/>
        </w:tabs>
        <w:spacing w:after="120"/>
        <w:ind w:left="567" w:hanging="283"/>
        <w:rPr>
          <w:sz w:val="21"/>
          <w:szCs w:val="21"/>
        </w:rPr>
      </w:pPr>
      <w:r w:rsidRPr="00EF1424">
        <w:rPr>
          <w:sz w:val="21"/>
          <w:szCs w:val="21"/>
        </w:rPr>
        <w:t xml:space="preserve">Salaries and wages of those employed in research, inspection, </w:t>
      </w:r>
      <w:r>
        <w:rPr>
          <w:sz w:val="21"/>
          <w:szCs w:val="21"/>
        </w:rPr>
        <w:t>management</w:t>
      </w:r>
      <w:r w:rsidRPr="00EF1424">
        <w:rPr>
          <w:sz w:val="21"/>
          <w:szCs w:val="21"/>
        </w:rPr>
        <w:t xml:space="preserve"> and other services.</w:t>
      </w:r>
    </w:p>
    <w:p w:rsidR="00D03B78" w:rsidRPr="00EF1424" w:rsidRDefault="00D03B78" w:rsidP="006D2EA9">
      <w:pPr>
        <w:pStyle w:val="ListBullet"/>
        <w:tabs>
          <w:tab w:val="clear" w:pos="850"/>
          <w:tab w:val="num" w:pos="567"/>
        </w:tabs>
        <w:ind w:left="567" w:hanging="283"/>
        <w:rPr>
          <w:sz w:val="21"/>
          <w:szCs w:val="21"/>
        </w:rPr>
      </w:pPr>
      <w:r w:rsidRPr="00EF1424">
        <w:rPr>
          <w:sz w:val="21"/>
          <w:szCs w:val="21"/>
        </w:rPr>
        <w:t>Payment</w:t>
      </w:r>
      <w:r>
        <w:rPr>
          <w:sz w:val="21"/>
          <w:szCs w:val="21"/>
        </w:rPr>
        <w:t>s to banks, insurance companies or</w:t>
      </w:r>
      <w:r w:rsidRPr="00EF1424">
        <w:rPr>
          <w:sz w:val="21"/>
          <w:szCs w:val="21"/>
        </w:rPr>
        <w:t xml:space="preserve"> </w:t>
      </w:r>
      <w:r>
        <w:rPr>
          <w:sz w:val="21"/>
          <w:szCs w:val="21"/>
        </w:rPr>
        <w:t>fisher</w:t>
      </w:r>
      <w:r w:rsidRPr="00EF1424">
        <w:rPr>
          <w:sz w:val="21"/>
          <w:szCs w:val="21"/>
        </w:rPr>
        <w:t xml:space="preserve"> organisations to cover their costs associated with implementing support policies.</w:t>
      </w:r>
    </w:p>
    <w:p w:rsidR="00D03B78" w:rsidRPr="00EF1424" w:rsidRDefault="00D03B78" w:rsidP="006D2EA9">
      <w:pPr>
        <w:pStyle w:val="Num-DocParagraph"/>
        <w:rPr>
          <w:sz w:val="21"/>
          <w:szCs w:val="21"/>
        </w:rPr>
      </w:pPr>
      <w:r w:rsidRPr="00EF1424">
        <w:rPr>
          <w:sz w:val="21"/>
          <w:szCs w:val="21"/>
        </w:rPr>
        <w:fldChar w:fldCharType="begin"/>
      </w:r>
      <w:r w:rsidRPr="00EF1424">
        <w:rPr>
          <w:sz w:val="21"/>
          <w:szCs w:val="21"/>
        </w:rPr>
        <w:instrText xml:space="preserve"> MACROBUTTON NUMBERING </w:instrText>
      </w:r>
      <w:r w:rsidRPr="00EF1424">
        <w:rPr>
          <w:sz w:val="21"/>
          <w:szCs w:val="21"/>
        </w:rPr>
        <w:fldChar w:fldCharType="begin"/>
      </w:r>
      <w:r w:rsidRPr="00EF1424">
        <w:rPr>
          <w:sz w:val="21"/>
          <w:szCs w:val="21"/>
        </w:rPr>
        <w:instrText xml:space="preserve"> SEQ  dpara</w:instrText>
      </w:r>
      <w:r w:rsidRPr="00EF1424">
        <w:rPr>
          <w:sz w:val="21"/>
          <w:szCs w:val="21"/>
        </w:rPr>
        <w:fldChar w:fldCharType="separate"/>
      </w:r>
      <w:r w:rsidR="0042183E">
        <w:rPr>
          <w:noProof/>
          <w:sz w:val="21"/>
          <w:szCs w:val="21"/>
        </w:rPr>
        <w:instrText>57</w:instrText>
      </w:r>
      <w:r w:rsidRPr="00EF1424">
        <w:rPr>
          <w:sz w:val="21"/>
          <w:szCs w:val="21"/>
        </w:rPr>
        <w:fldChar w:fldCharType="end"/>
      </w:r>
      <w:r w:rsidRPr="00EF1424">
        <w:rPr>
          <w:sz w:val="21"/>
          <w:szCs w:val="21"/>
        </w:rPr>
        <w:instrText>.</w:instrText>
      </w:r>
      <w:r w:rsidRPr="00EF1424">
        <w:rPr>
          <w:sz w:val="21"/>
          <w:szCs w:val="21"/>
        </w:rPr>
        <w:tab/>
      </w:r>
      <w:r w:rsidRPr="00EF1424">
        <w:rPr>
          <w:sz w:val="21"/>
          <w:szCs w:val="21"/>
        </w:rPr>
        <w:fldChar w:fldCharType="end"/>
      </w:r>
      <w:r w:rsidRPr="00EF1424">
        <w:rPr>
          <w:sz w:val="21"/>
          <w:szCs w:val="21"/>
        </w:rPr>
        <w:t xml:space="preserve">The principle is to exclude administrative expenditures of the ministries from the estimation of support as they represent expenditures on operations common to any public structure and are not policy transfers as such. However, when the policy measure is actually delivering a service that benefits </w:t>
      </w:r>
      <w:r>
        <w:rPr>
          <w:sz w:val="21"/>
          <w:szCs w:val="21"/>
        </w:rPr>
        <w:t>fishers</w:t>
      </w:r>
      <w:r w:rsidRPr="00EF1424">
        <w:rPr>
          <w:sz w:val="21"/>
          <w:szCs w:val="21"/>
        </w:rPr>
        <w:t xml:space="preserve"> individually (</w:t>
      </w:r>
      <w:r w:rsidRPr="00664259">
        <w:rPr>
          <w:sz w:val="21"/>
          <w:szCs w:val="21"/>
        </w:rPr>
        <w:t>e.g.</w:t>
      </w:r>
      <w:r w:rsidRPr="00EF1424">
        <w:rPr>
          <w:sz w:val="21"/>
          <w:szCs w:val="21"/>
        </w:rPr>
        <w:t> </w:t>
      </w:r>
      <w:r>
        <w:rPr>
          <w:sz w:val="21"/>
          <w:szCs w:val="21"/>
        </w:rPr>
        <w:t>training</w:t>
      </w:r>
      <w:r w:rsidRPr="00EF1424">
        <w:rPr>
          <w:sz w:val="21"/>
          <w:szCs w:val="21"/>
        </w:rPr>
        <w:t>) or collectively (</w:t>
      </w:r>
      <w:r w:rsidRPr="00472CFE">
        <w:rPr>
          <w:sz w:val="21"/>
          <w:szCs w:val="21"/>
        </w:rPr>
        <w:t>e.g. </w:t>
      </w:r>
      <w:r>
        <w:rPr>
          <w:sz w:val="21"/>
          <w:szCs w:val="21"/>
        </w:rPr>
        <w:t>management or research</w:t>
      </w:r>
      <w:r w:rsidRPr="00EF1424">
        <w:rPr>
          <w:sz w:val="21"/>
          <w:szCs w:val="21"/>
        </w:rPr>
        <w:t xml:space="preserve">), expenditures associated with the delivery of the service, mainly the salaries of </w:t>
      </w:r>
      <w:r>
        <w:rPr>
          <w:sz w:val="21"/>
          <w:szCs w:val="21"/>
        </w:rPr>
        <w:t>administrators</w:t>
      </w:r>
      <w:r w:rsidRPr="00EF1424">
        <w:rPr>
          <w:sz w:val="21"/>
          <w:szCs w:val="21"/>
        </w:rPr>
        <w:t>, inspection officers, researchers, etc., are included in</w:t>
      </w:r>
      <w:r>
        <w:rPr>
          <w:sz w:val="21"/>
          <w:szCs w:val="21"/>
        </w:rPr>
        <w:t xml:space="preserve"> the FSE</w:t>
      </w:r>
      <w:r w:rsidRPr="00EF1424">
        <w:rPr>
          <w:sz w:val="21"/>
          <w:szCs w:val="21"/>
        </w:rPr>
        <w:t>.</w:t>
      </w:r>
    </w:p>
    <w:p w:rsidR="00D03B78" w:rsidRPr="00EF1424" w:rsidRDefault="00D03B78" w:rsidP="006D2EA9">
      <w:pPr>
        <w:pStyle w:val="Num-DocParagraph"/>
        <w:rPr>
          <w:sz w:val="21"/>
          <w:szCs w:val="21"/>
        </w:rPr>
      </w:pPr>
      <w:r w:rsidRPr="00EF1424">
        <w:rPr>
          <w:sz w:val="21"/>
          <w:szCs w:val="21"/>
        </w:rPr>
        <w:fldChar w:fldCharType="begin"/>
      </w:r>
      <w:r w:rsidRPr="00EF1424">
        <w:rPr>
          <w:sz w:val="21"/>
          <w:szCs w:val="21"/>
        </w:rPr>
        <w:instrText xml:space="preserve"> MACROBUTTON NUMBERING </w:instrText>
      </w:r>
      <w:r w:rsidRPr="00EF1424">
        <w:rPr>
          <w:sz w:val="21"/>
          <w:szCs w:val="21"/>
        </w:rPr>
        <w:fldChar w:fldCharType="begin"/>
      </w:r>
      <w:r w:rsidRPr="00EF1424">
        <w:rPr>
          <w:sz w:val="21"/>
          <w:szCs w:val="21"/>
        </w:rPr>
        <w:instrText xml:space="preserve"> SEQ  dpara</w:instrText>
      </w:r>
      <w:r w:rsidRPr="00EF1424">
        <w:rPr>
          <w:sz w:val="21"/>
          <w:szCs w:val="21"/>
        </w:rPr>
        <w:fldChar w:fldCharType="separate"/>
      </w:r>
      <w:r w:rsidR="0042183E">
        <w:rPr>
          <w:noProof/>
          <w:sz w:val="21"/>
          <w:szCs w:val="21"/>
        </w:rPr>
        <w:instrText>58</w:instrText>
      </w:r>
      <w:r w:rsidRPr="00EF1424">
        <w:rPr>
          <w:sz w:val="21"/>
          <w:szCs w:val="21"/>
        </w:rPr>
        <w:fldChar w:fldCharType="end"/>
      </w:r>
      <w:r w:rsidRPr="00EF1424">
        <w:rPr>
          <w:sz w:val="21"/>
          <w:szCs w:val="21"/>
        </w:rPr>
        <w:instrText>.</w:instrText>
      </w:r>
      <w:r w:rsidRPr="00EF1424">
        <w:rPr>
          <w:sz w:val="21"/>
          <w:szCs w:val="21"/>
        </w:rPr>
        <w:tab/>
      </w:r>
      <w:r w:rsidRPr="00EF1424">
        <w:rPr>
          <w:sz w:val="21"/>
          <w:szCs w:val="21"/>
        </w:rPr>
        <w:fldChar w:fldCharType="end"/>
      </w:r>
      <w:r w:rsidRPr="00EF1424">
        <w:rPr>
          <w:sz w:val="21"/>
          <w:szCs w:val="21"/>
        </w:rPr>
        <w:t xml:space="preserve">In some countries, the government grants to other agencies (public, mixed or private bodies) responsibility for implementing some </w:t>
      </w:r>
      <w:r>
        <w:rPr>
          <w:sz w:val="21"/>
          <w:szCs w:val="21"/>
        </w:rPr>
        <w:t>fisheries</w:t>
      </w:r>
      <w:r w:rsidRPr="00EF1424">
        <w:rPr>
          <w:sz w:val="21"/>
          <w:szCs w:val="21"/>
        </w:rPr>
        <w:t xml:space="preserve"> policy measures. </w:t>
      </w:r>
      <w:r>
        <w:rPr>
          <w:sz w:val="21"/>
          <w:szCs w:val="21"/>
        </w:rPr>
        <w:t>Fisher</w:t>
      </w:r>
      <w:r w:rsidRPr="00EF1424">
        <w:rPr>
          <w:sz w:val="21"/>
          <w:szCs w:val="21"/>
        </w:rPr>
        <w:t xml:space="preserve"> organisations </w:t>
      </w:r>
      <w:r>
        <w:rPr>
          <w:sz w:val="21"/>
          <w:szCs w:val="21"/>
        </w:rPr>
        <w:t xml:space="preserve">such as community-based management </w:t>
      </w:r>
      <w:r w:rsidRPr="00EF1424">
        <w:rPr>
          <w:sz w:val="21"/>
          <w:szCs w:val="21"/>
        </w:rPr>
        <w:t xml:space="preserve">may be involved in policy implementation. Banks may deliver </w:t>
      </w:r>
      <w:r>
        <w:rPr>
          <w:sz w:val="21"/>
          <w:szCs w:val="21"/>
        </w:rPr>
        <w:t>fisheries</w:t>
      </w:r>
      <w:r w:rsidRPr="00EF1424">
        <w:rPr>
          <w:sz w:val="21"/>
          <w:szCs w:val="21"/>
        </w:rPr>
        <w:t xml:space="preserve"> investment loans with preferential conditions (</w:t>
      </w:r>
      <w:r>
        <w:rPr>
          <w:sz w:val="21"/>
          <w:szCs w:val="21"/>
        </w:rPr>
        <w:t>generally interest concessions)</w:t>
      </w:r>
      <w:r w:rsidRPr="00EF1424">
        <w:rPr>
          <w:sz w:val="21"/>
          <w:szCs w:val="21"/>
        </w:rPr>
        <w:t xml:space="preserve">. Consulting companies or NGOs can help </w:t>
      </w:r>
      <w:r>
        <w:rPr>
          <w:sz w:val="21"/>
          <w:szCs w:val="21"/>
        </w:rPr>
        <w:t>fishers</w:t>
      </w:r>
      <w:r w:rsidRPr="00EF1424">
        <w:rPr>
          <w:sz w:val="21"/>
          <w:szCs w:val="21"/>
        </w:rPr>
        <w:t xml:space="preserve"> prepare applications for project-based measures. </w:t>
      </w:r>
    </w:p>
    <w:p w:rsidR="00D03B78" w:rsidRPr="00EF1424" w:rsidRDefault="00D03B78" w:rsidP="006D2EA9">
      <w:pPr>
        <w:pStyle w:val="Num-DocParagraph"/>
        <w:rPr>
          <w:sz w:val="21"/>
          <w:szCs w:val="21"/>
        </w:rPr>
      </w:pPr>
      <w:r w:rsidRPr="00EF1424">
        <w:rPr>
          <w:sz w:val="21"/>
          <w:szCs w:val="21"/>
        </w:rPr>
        <w:fldChar w:fldCharType="begin"/>
      </w:r>
      <w:r w:rsidRPr="00EF1424">
        <w:rPr>
          <w:sz w:val="21"/>
          <w:szCs w:val="21"/>
        </w:rPr>
        <w:instrText xml:space="preserve"> MACROBUTTON NUMBERING </w:instrText>
      </w:r>
      <w:r w:rsidRPr="00EF1424">
        <w:rPr>
          <w:sz w:val="21"/>
          <w:szCs w:val="21"/>
        </w:rPr>
        <w:fldChar w:fldCharType="begin"/>
      </w:r>
      <w:r w:rsidRPr="00EF1424">
        <w:rPr>
          <w:sz w:val="21"/>
          <w:szCs w:val="21"/>
        </w:rPr>
        <w:instrText xml:space="preserve"> SEQ  dpara</w:instrText>
      </w:r>
      <w:r w:rsidRPr="00EF1424">
        <w:rPr>
          <w:sz w:val="21"/>
          <w:szCs w:val="21"/>
        </w:rPr>
        <w:fldChar w:fldCharType="separate"/>
      </w:r>
      <w:r w:rsidR="0042183E">
        <w:rPr>
          <w:noProof/>
          <w:sz w:val="21"/>
          <w:szCs w:val="21"/>
        </w:rPr>
        <w:instrText>59</w:instrText>
      </w:r>
      <w:r w:rsidRPr="00EF1424">
        <w:rPr>
          <w:sz w:val="21"/>
          <w:szCs w:val="21"/>
        </w:rPr>
        <w:fldChar w:fldCharType="end"/>
      </w:r>
      <w:r w:rsidRPr="00EF1424">
        <w:rPr>
          <w:sz w:val="21"/>
          <w:szCs w:val="21"/>
        </w:rPr>
        <w:instrText>.</w:instrText>
      </w:r>
      <w:r w:rsidRPr="00EF1424">
        <w:rPr>
          <w:sz w:val="21"/>
          <w:szCs w:val="21"/>
        </w:rPr>
        <w:tab/>
      </w:r>
      <w:r w:rsidRPr="00EF1424">
        <w:rPr>
          <w:sz w:val="21"/>
          <w:szCs w:val="21"/>
        </w:rPr>
        <w:fldChar w:fldCharType="end"/>
      </w:r>
      <w:r w:rsidRPr="00EF1424">
        <w:rPr>
          <w:sz w:val="21"/>
          <w:szCs w:val="21"/>
        </w:rPr>
        <w:t xml:space="preserve">When policies are delivered by semi-public or private companies, the government may compensate them for part or all of the costs associated with implementing the policy measure, in addition to channelling financial support to </w:t>
      </w:r>
      <w:r>
        <w:rPr>
          <w:sz w:val="21"/>
          <w:szCs w:val="21"/>
        </w:rPr>
        <w:t>fishers</w:t>
      </w:r>
      <w:r w:rsidRPr="00EF1424">
        <w:rPr>
          <w:sz w:val="21"/>
          <w:szCs w:val="21"/>
        </w:rPr>
        <w:t xml:space="preserve"> through these organisations. As in the case of direct delivery by ministry officials, these implementation costs are excluded from the </w:t>
      </w:r>
      <w:r>
        <w:rPr>
          <w:sz w:val="21"/>
          <w:szCs w:val="21"/>
        </w:rPr>
        <w:t>F</w:t>
      </w:r>
      <w:r w:rsidRPr="00EF1424">
        <w:rPr>
          <w:sz w:val="21"/>
          <w:szCs w:val="21"/>
        </w:rPr>
        <w:t xml:space="preserve">SE. In the case of investment and insurance programmes, the government may pay for two components: support to </w:t>
      </w:r>
      <w:r>
        <w:rPr>
          <w:sz w:val="21"/>
          <w:szCs w:val="21"/>
        </w:rPr>
        <w:t>fishers</w:t>
      </w:r>
      <w:r w:rsidRPr="00EF1424">
        <w:rPr>
          <w:sz w:val="21"/>
          <w:szCs w:val="21"/>
        </w:rPr>
        <w:t xml:space="preserve"> (</w:t>
      </w:r>
      <w:r w:rsidRPr="00472CFE">
        <w:rPr>
          <w:sz w:val="21"/>
          <w:szCs w:val="21"/>
        </w:rPr>
        <w:t>e.g.</w:t>
      </w:r>
      <w:r w:rsidRPr="00EF1424">
        <w:rPr>
          <w:sz w:val="21"/>
          <w:szCs w:val="21"/>
        </w:rPr>
        <w:t xml:space="preserve"> interest concession on loans, or a subsidy to insurance </w:t>
      </w:r>
      <w:r w:rsidRPr="00EF1424">
        <w:rPr>
          <w:i/>
          <w:sz w:val="21"/>
          <w:szCs w:val="21"/>
        </w:rPr>
        <w:t>premia</w:t>
      </w:r>
      <w:r w:rsidRPr="00EF1424">
        <w:rPr>
          <w:sz w:val="21"/>
          <w:szCs w:val="21"/>
        </w:rPr>
        <w:t xml:space="preserve">), as well as the programme administration costs, which are transfers to the implementation agencies. Those two cost components are usually identified in the programme. The first one is included in the </w:t>
      </w:r>
      <w:r>
        <w:rPr>
          <w:sz w:val="21"/>
          <w:szCs w:val="21"/>
        </w:rPr>
        <w:t>F</w:t>
      </w:r>
      <w:r w:rsidRPr="00EF1424">
        <w:rPr>
          <w:sz w:val="21"/>
          <w:szCs w:val="21"/>
        </w:rPr>
        <w:t>SE, while the other is not.</w:t>
      </w:r>
    </w:p>
    <w:p w:rsidR="00D03B78" w:rsidRPr="009D1F8E" w:rsidRDefault="00D03B78" w:rsidP="00BC6EC0">
      <w:pPr>
        <w:pStyle w:val="Heading2"/>
      </w:pPr>
      <w:bookmarkStart w:id="220" w:name="_Toc176623264"/>
      <w:bookmarkStart w:id="221" w:name="_Toc176630011"/>
      <w:bookmarkStart w:id="222" w:name="_Toc178591990"/>
      <w:bookmarkStart w:id="223" w:name="_Toc203897781"/>
      <w:bookmarkStart w:id="224" w:name="_Toc203898455"/>
      <w:bookmarkStart w:id="225" w:name="_Toc272931562"/>
      <w:bookmarkStart w:id="226" w:name="_Toc273007864"/>
      <w:bookmarkStart w:id="227" w:name="_Toc361730704"/>
      <w:bookmarkStart w:id="228" w:name="_Toc435460629"/>
      <w:bookmarkStart w:id="229" w:name="_Toc445973532"/>
      <w:r w:rsidRPr="009D1F8E">
        <w:t>5.4.</w:t>
      </w:r>
      <w:r w:rsidRPr="009D1F8E">
        <w:tab/>
      </w:r>
      <w:bookmarkStart w:id="230" w:name="_Toc176623265"/>
      <w:bookmarkStart w:id="231" w:name="_Toc176630012"/>
      <w:bookmarkStart w:id="232" w:name="_Toc178591991"/>
      <w:bookmarkStart w:id="233" w:name="_Toc203897782"/>
      <w:bookmarkStart w:id="234" w:name="_Toc203898456"/>
      <w:bookmarkStart w:id="235" w:name="_Toc272931563"/>
      <w:bookmarkStart w:id="236" w:name="_Toc273007865"/>
      <w:bookmarkStart w:id="237" w:name="_Toc361730705"/>
      <w:bookmarkEnd w:id="220"/>
      <w:bookmarkEnd w:id="221"/>
      <w:bookmarkEnd w:id="222"/>
      <w:bookmarkEnd w:id="223"/>
      <w:bookmarkEnd w:id="224"/>
      <w:bookmarkEnd w:id="225"/>
      <w:bookmarkEnd w:id="226"/>
      <w:bookmarkEnd w:id="227"/>
      <w:r w:rsidRPr="009D1F8E">
        <w:t>Attribution of budgetary allocations to calendar years</w:t>
      </w:r>
      <w:bookmarkEnd w:id="228"/>
      <w:bookmarkEnd w:id="229"/>
      <w:bookmarkEnd w:id="230"/>
      <w:bookmarkEnd w:id="231"/>
      <w:bookmarkEnd w:id="232"/>
      <w:bookmarkEnd w:id="233"/>
      <w:bookmarkEnd w:id="234"/>
      <w:bookmarkEnd w:id="235"/>
      <w:bookmarkEnd w:id="236"/>
      <w:bookmarkEnd w:id="237"/>
    </w:p>
    <w:p w:rsidR="00D03B78" w:rsidRPr="00EF1424" w:rsidRDefault="00D03B78" w:rsidP="006D2EA9">
      <w:pPr>
        <w:pStyle w:val="Num-DocParagraph"/>
        <w:rPr>
          <w:sz w:val="21"/>
          <w:szCs w:val="21"/>
        </w:rPr>
      </w:pPr>
      <w:r w:rsidRPr="00EF1424">
        <w:rPr>
          <w:sz w:val="21"/>
          <w:szCs w:val="21"/>
        </w:rPr>
        <w:fldChar w:fldCharType="begin"/>
      </w:r>
      <w:r w:rsidRPr="00EF1424">
        <w:rPr>
          <w:sz w:val="21"/>
          <w:szCs w:val="21"/>
        </w:rPr>
        <w:instrText xml:space="preserve"> MACROBUTTON NUMBERING </w:instrText>
      </w:r>
      <w:r w:rsidRPr="00EF1424">
        <w:rPr>
          <w:sz w:val="21"/>
          <w:szCs w:val="21"/>
        </w:rPr>
        <w:fldChar w:fldCharType="begin"/>
      </w:r>
      <w:r w:rsidRPr="00EF1424">
        <w:rPr>
          <w:sz w:val="21"/>
          <w:szCs w:val="21"/>
        </w:rPr>
        <w:instrText xml:space="preserve"> SEQ  dpara</w:instrText>
      </w:r>
      <w:r w:rsidRPr="00EF1424">
        <w:rPr>
          <w:sz w:val="21"/>
          <w:szCs w:val="21"/>
        </w:rPr>
        <w:fldChar w:fldCharType="separate"/>
      </w:r>
      <w:r w:rsidR="0042183E">
        <w:rPr>
          <w:noProof/>
          <w:sz w:val="21"/>
          <w:szCs w:val="21"/>
        </w:rPr>
        <w:instrText>60</w:instrText>
      </w:r>
      <w:r w:rsidRPr="00EF1424">
        <w:rPr>
          <w:sz w:val="21"/>
          <w:szCs w:val="21"/>
        </w:rPr>
        <w:fldChar w:fldCharType="end"/>
      </w:r>
      <w:r w:rsidRPr="00EF1424">
        <w:rPr>
          <w:sz w:val="21"/>
          <w:szCs w:val="21"/>
        </w:rPr>
        <w:instrText>.</w:instrText>
      </w:r>
      <w:r w:rsidRPr="00EF1424">
        <w:rPr>
          <w:sz w:val="21"/>
          <w:szCs w:val="21"/>
        </w:rPr>
        <w:tab/>
      </w:r>
      <w:r w:rsidRPr="00EF1424">
        <w:rPr>
          <w:sz w:val="21"/>
          <w:szCs w:val="21"/>
        </w:rPr>
        <w:fldChar w:fldCharType="end"/>
      </w:r>
      <w:r w:rsidRPr="00EF1424">
        <w:rPr>
          <w:sz w:val="21"/>
          <w:szCs w:val="21"/>
        </w:rPr>
        <w:t>Support estimates are made on a calendar-year basis</w:t>
      </w:r>
      <w:r>
        <w:rPr>
          <w:sz w:val="21"/>
          <w:szCs w:val="21"/>
        </w:rPr>
        <w:t>,</w:t>
      </w:r>
      <w:r w:rsidRPr="00EF1424">
        <w:rPr>
          <w:sz w:val="21"/>
          <w:szCs w:val="21"/>
        </w:rPr>
        <w:t xml:space="preserve"> </w:t>
      </w:r>
      <w:r>
        <w:rPr>
          <w:sz w:val="21"/>
          <w:szCs w:val="21"/>
        </w:rPr>
        <w:t xml:space="preserve">hence </w:t>
      </w:r>
      <w:r w:rsidRPr="00EF1424">
        <w:rPr>
          <w:sz w:val="21"/>
          <w:szCs w:val="21"/>
        </w:rPr>
        <w:t xml:space="preserve">budgetary expenditures </w:t>
      </w:r>
      <w:r>
        <w:rPr>
          <w:sz w:val="21"/>
          <w:szCs w:val="21"/>
        </w:rPr>
        <w:t xml:space="preserve">also </w:t>
      </w:r>
      <w:r w:rsidRPr="00EF1424">
        <w:rPr>
          <w:sz w:val="21"/>
          <w:szCs w:val="21"/>
        </w:rPr>
        <w:t xml:space="preserve">should be allocated to calendar years. This may not be straightforward, as some support programmes have cycles that correspond to </w:t>
      </w:r>
      <w:r>
        <w:rPr>
          <w:sz w:val="21"/>
          <w:szCs w:val="21"/>
        </w:rPr>
        <w:t>fishing seasons</w:t>
      </w:r>
      <w:r w:rsidRPr="00EF1424">
        <w:rPr>
          <w:sz w:val="21"/>
          <w:szCs w:val="21"/>
        </w:rPr>
        <w:t xml:space="preserve">, while the budgetary funding is based on fiscal years. These may not fully coincide, i.e. they may cover different time </w:t>
      </w:r>
      <w:r>
        <w:rPr>
          <w:sz w:val="21"/>
          <w:szCs w:val="21"/>
        </w:rPr>
        <w:t>periods</w:t>
      </w:r>
      <w:r w:rsidRPr="00EF1424">
        <w:rPr>
          <w:sz w:val="21"/>
          <w:szCs w:val="21"/>
        </w:rPr>
        <w:t xml:space="preserve">. The principle is to allocate </w:t>
      </w:r>
      <w:r>
        <w:rPr>
          <w:sz w:val="21"/>
          <w:szCs w:val="21"/>
        </w:rPr>
        <w:t>transfers</w:t>
      </w:r>
      <w:r w:rsidRPr="00EF1424">
        <w:rPr>
          <w:sz w:val="21"/>
          <w:szCs w:val="21"/>
        </w:rPr>
        <w:t xml:space="preserve"> to the calendar year </w:t>
      </w:r>
      <w:r>
        <w:rPr>
          <w:sz w:val="21"/>
          <w:szCs w:val="21"/>
        </w:rPr>
        <w:t>in</w:t>
      </w:r>
      <w:r w:rsidRPr="00EF1424">
        <w:rPr>
          <w:sz w:val="21"/>
          <w:szCs w:val="21"/>
        </w:rPr>
        <w:t xml:space="preserve"> which the</w:t>
      </w:r>
      <w:r>
        <w:rPr>
          <w:sz w:val="21"/>
          <w:szCs w:val="21"/>
        </w:rPr>
        <w:t xml:space="preserve"> supported activity took place</w:t>
      </w:r>
      <w:r w:rsidRPr="00EF1424">
        <w:rPr>
          <w:sz w:val="21"/>
          <w:szCs w:val="21"/>
        </w:rPr>
        <w:t xml:space="preserve">. For example, suppose that a </w:t>
      </w:r>
      <w:r>
        <w:rPr>
          <w:sz w:val="21"/>
          <w:szCs w:val="21"/>
        </w:rPr>
        <w:t xml:space="preserve">fishing season </w:t>
      </w:r>
      <w:r w:rsidRPr="00EF1424">
        <w:rPr>
          <w:sz w:val="21"/>
          <w:szCs w:val="21"/>
        </w:rPr>
        <w:t> </w:t>
      </w:r>
      <w:r w:rsidRPr="00EF1424">
        <w:rPr>
          <w:i/>
          <w:sz w:val="21"/>
          <w:szCs w:val="21"/>
        </w:rPr>
        <w:t>t</w:t>
      </w:r>
      <w:r w:rsidRPr="00EF1424">
        <w:rPr>
          <w:sz w:val="21"/>
          <w:szCs w:val="21"/>
        </w:rPr>
        <w:t xml:space="preserve"> starts in calendar year </w:t>
      </w:r>
      <w:r w:rsidRPr="00EF1424">
        <w:rPr>
          <w:i/>
          <w:sz w:val="21"/>
          <w:szCs w:val="21"/>
        </w:rPr>
        <w:t>t</w:t>
      </w:r>
      <w:r>
        <w:rPr>
          <w:sz w:val="21"/>
          <w:szCs w:val="21"/>
        </w:rPr>
        <w:t xml:space="preserve"> but the transfer is</w:t>
      </w:r>
      <w:r w:rsidRPr="00EF1424">
        <w:rPr>
          <w:sz w:val="21"/>
          <w:szCs w:val="21"/>
        </w:rPr>
        <w:t xml:space="preserve"> made on the basis of the fiscal year and may fall mostly into calendar year </w:t>
      </w:r>
      <w:r w:rsidRPr="00EF1424">
        <w:rPr>
          <w:i/>
          <w:sz w:val="21"/>
          <w:szCs w:val="21"/>
        </w:rPr>
        <w:t>t+1</w:t>
      </w:r>
      <w:r w:rsidRPr="00EF1424">
        <w:rPr>
          <w:sz w:val="21"/>
          <w:szCs w:val="21"/>
        </w:rPr>
        <w:t>. In this case, payments made in calendar year </w:t>
      </w:r>
      <w:r w:rsidRPr="00EF1424">
        <w:rPr>
          <w:i/>
          <w:sz w:val="21"/>
          <w:szCs w:val="21"/>
        </w:rPr>
        <w:t xml:space="preserve">t+1 </w:t>
      </w:r>
      <w:r w:rsidRPr="00EF1424">
        <w:rPr>
          <w:sz w:val="21"/>
          <w:szCs w:val="21"/>
        </w:rPr>
        <w:t>(regardless of fiscal year) should be allocated to calendar year </w:t>
      </w:r>
      <w:r w:rsidRPr="00EF1424">
        <w:rPr>
          <w:i/>
          <w:sz w:val="21"/>
          <w:szCs w:val="21"/>
        </w:rPr>
        <w:t>t</w:t>
      </w:r>
      <w:r w:rsidRPr="00EF1424">
        <w:rPr>
          <w:sz w:val="21"/>
          <w:szCs w:val="21"/>
        </w:rPr>
        <w:t xml:space="preserve"> because the </w:t>
      </w:r>
      <w:r>
        <w:rPr>
          <w:sz w:val="21"/>
          <w:szCs w:val="21"/>
        </w:rPr>
        <w:t>activity (fishing season, harvest, investment)</w:t>
      </w:r>
      <w:r w:rsidRPr="00EF1424">
        <w:rPr>
          <w:sz w:val="21"/>
          <w:szCs w:val="21"/>
        </w:rPr>
        <w:t xml:space="preserve"> for which the payment was made is attributed to that calendar year.</w:t>
      </w:r>
    </w:p>
    <w:p w:rsidR="00D03B78" w:rsidRDefault="00D03B78" w:rsidP="00BC6EC0">
      <w:pPr>
        <w:pStyle w:val="Heading2"/>
      </w:pPr>
      <w:bookmarkStart w:id="238" w:name="_Toc176623266"/>
      <w:bookmarkStart w:id="239" w:name="_Toc176630013"/>
      <w:bookmarkStart w:id="240" w:name="_Toc178591992"/>
      <w:bookmarkStart w:id="241" w:name="_Toc203897783"/>
      <w:bookmarkStart w:id="242" w:name="_Toc203898457"/>
      <w:bookmarkStart w:id="243" w:name="_Toc272931564"/>
      <w:bookmarkStart w:id="244" w:name="_Toc273007866"/>
      <w:bookmarkStart w:id="245" w:name="_Toc361730706"/>
      <w:bookmarkStart w:id="246" w:name="_Toc435460630"/>
      <w:bookmarkStart w:id="247" w:name="_Toc445973533"/>
      <w:r w:rsidRPr="009D1F8E">
        <w:t>5.5.</w:t>
      </w:r>
      <w:r w:rsidRPr="009D1F8E">
        <w:tab/>
        <w:t>Classification of budgetary spending</w:t>
      </w:r>
      <w:bookmarkEnd w:id="238"/>
      <w:bookmarkEnd w:id="239"/>
      <w:bookmarkEnd w:id="240"/>
      <w:bookmarkEnd w:id="241"/>
      <w:bookmarkEnd w:id="242"/>
      <w:bookmarkEnd w:id="243"/>
      <w:bookmarkEnd w:id="244"/>
      <w:bookmarkEnd w:id="245"/>
      <w:bookmarkEnd w:id="246"/>
      <w:bookmarkEnd w:id="247"/>
    </w:p>
    <w:p w:rsidR="007D0BB6" w:rsidRPr="007D0BB6" w:rsidRDefault="007D0BB6" w:rsidP="007D0BB6">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61</w:instrText>
      </w:r>
      <w:r>
        <w:fldChar w:fldCharType="end"/>
      </w:r>
      <w:r>
        <w:instrText>.</w:instrText>
      </w:r>
      <w:r>
        <w:tab/>
      </w:r>
      <w:r>
        <w:fldChar w:fldCharType="end"/>
      </w:r>
      <w:r w:rsidRPr="007D0BB6">
        <w:rPr>
          <w:sz w:val="21"/>
          <w:szCs w:val="21"/>
        </w:rPr>
        <w:t xml:space="preserve"> </w:t>
      </w:r>
      <w:r w:rsidRPr="00EF1424">
        <w:rPr>
          <w:sz w:val="21"/>
          <w:szCs w:val="21"/>
        </w:rPr>
        <w:t xml:space="preserve">Once all budgetary spending items are identified, adjusted and allocated to appropriate years, they should be classified into the </w:t>
      </w:r>
      <w:r>
        <w:rPr>
          <w:sz w:val="21"/>
          <w:szCs w:val="21"/>
        </w:rPr>
        <w:t>FSE according to its implementation criteria.</w:t>
      </w:r>
      <w:r w:rsidRPr="00EF1424">
        <w:rPr>
          <w:sz w:val="21"/>
          <w:szCs w:val="21"/>
        </w:rPr>
        <w:t xml:space="preserve"> One specific problem which may be encountered in classifying expenditures is that the budgetary data reported </w:t>
      </w:r>
      <w:r>
        <w:rPr>
          <w:sz w:val="21"/>
          <w:szCs w:val="21"/>
        </w:rPr>
        <w:t xml:space="preserve">are </w:t>
      </w:r>
      <w:r w:rsidRPr="00EF1424">
        <w:rPr>
          <w:sz w:val="21"/>
          <w:szCs w:val="21"/>
        </w:rPr>
        <w:t xml:space="preserve">too aggregated to be directly allocated to a particular category. For example, data may be presented by broad </w:t>
      </w:r>
      <w:r>
        <w:rPr>
          <w:sz w:val="21"/>
          <w:szCs w:val="21"/>
        </w:rPr>
        <w:t>fisheries</w:t>
      </w:r>
      <w:r w:rsidRPr="00EF1424">
        <w:rPr>
          <w:sz w:val="21"/>
          <w:szCs w:val="21"/>
        </w:rPr>
        <w:t xml:space="preserve"> programmes or by implementing agencies – heterogeneous groupings that combine various types of expenditures. In such cases, it is important to make an attempt to obtain disaggregated data. If exact information is not available, then some reasonable approximation is required to allocate the spending items to individual policy measures, and hence to </w:t>
      </w:r>
      <w:r w:rsidRPr="00EF1424">
        <w:rPr>
          <w:sz w:val="21"/>
          <w:szCs w:val="21"/>
        </w:rPr>
        <w:lastRenderedPageBreak/>
        <w:t>the appropriate support category. For example, some assumed percentage shares to distribute the aggregate spending can be used. This involves some error; however</w:t>
      </w:r>
      <w:r>
        <w:rPr>
          <w:sz w:val="21"/>
          <w:szCs w:val="21"/>
        </w:rPr>
        <w:t>,</w:t>
      </w:r>
      <w:r w:rsidRPr="00EF1424">
        <w:rPr>
          <w:sz w:val="21"/>
          <w:szCs w:val="21"/>
        </w:rPr>
        <w:t xml:space="preserve"> it is likely to be smaller than if the amount was omitted entirely.</w:t>
      </w:r>
    </w:p>
    <w:p w:rsidR="007D0BB6" w:rsidRDefault="007D0BB6">
      <w:pPr>
        <w:tabs>
          <w:tab w:val="clear" w:pos="850"/>
          <w:tab w:val="clear" w:pos="1191"/>
          <w:tab w:val="clear" w:pos="1531"/>
        </w:tabs>
        <w:jc w:val="left"/>
        <w:rPr>
          <w:b/>
          <w:bCs/>
          <w:color w:val="0070C0"/>
          <w:kern w:val="28"/>
        </w:rPr>
      </w:pPr>
      <w:bookmarkStart w:id="248" w:name="Chapter_6"/>
      <w:bookmarkStart w:id="249" w:name="_Toc203897789"/>
      <w:bookmarkStart w:id="250" w:name="_Toc203898463"/>
      <w:bookmarkStart w:id="251" w:name="_Toc272931570"/>
      <w:bookmarkStart w:id="252" w:name="_Toc273007872"/>
      <w:bookmarkStart w:id="253" w:name="_Toc361730711"/>
      <w:r>
        <w:rPr>
          <w:caps/>
          <w:color w:val="0070C0"/>
        </w:rPr>
        <w:br w:type="page"/>
      </w:r>
    </w:p>
    <w:p w:rsidR="00947D13" w:rsidRPr="001E1813" w:rsidRDefault="007D0BB6" w:rsidP="007D0BB6">
      <w:pPr>
        <w:pStyle w:val="Heading1"/>
      </w:pPr>
      <w:r>
        <w:lastRenderedPageBreak/>
        <w:fldChar w:fldCharType="begin"/>
      </w:r>
      <w:r>
        <w:instrText xml:space="preserve"> MACROBUTTON NUMBERING </w:instrText>
      </w:r>
      <w:r>
        <w:fldChar w:fldCharType="begin"/>
      </w:r>
      <w:r>
        <w:instrText xml:space="preserve"> SEQ  cpara \h \r 0</w:instrText>
      </w:r>
      <w:r>
        <w:fldChar w:fldCharType="end"/>
      </w:r>
      <w:r>
        <w:fldChar w:fldCharType="begin"/>
      </w:r>
      <w:r>
        <w:instrText xml:space="preserve"> SEQ  ccount \h</w:instrText>
      </w:r>
      <w:r>
        <w:fldChar w:fldCharType="end"/>
      </w:r>
      <w:bookmarkStart w:id="254" w:name="_Toc445973534"/>
      <w:r>
        <w:fldChar w:fldCharType="end"/>
      </w:r>
      <w:r w:rsidR="00947D13" w:rsidRPr="001E1813">
        <w:t>Chapter 6</w:t>
      </w:r>
      <w:bookmarkEnd w:id="248"/>
      <w:r w:rsidR="00947D13" w:rsidRPr="001E1813">
        <w:br/>
      </w:r>
      <w:r w:rsidR="00947D13" w:rsidRPr="001E1813">
        <w:br/>
        <w:t xml:space="preserve">indicators of support to </w:t>
      </w:r>
      <w:r w:rsidR="00947D13">
        <w:t>fishers</w:t>
      </w:r>
      <w:bookmarkEnd w:id="249"/>
      <w:bookmarkEnd w:id="250"/>
      <w:bookmarkEnd w:id="251"/>
      <w:bookmarkEnd w:id="252"/>
      <w:bookmarkEnd w:id="253"/>
      <w:bookmarkEnd w:id="254"/>
    </w:p>
    <w:p w:rsidR="00D67F94" w:rsidRDefault="0042183E" w:rsidP="00947D13">
      <w:pPr>
        <w:pStyle w:val="Num-DocParagraph"/>
        <w:rPr>
          <w:sz w:val="21"/>
          <w:szCs w:val="21"/>
        </w:rPr>
      </w:pPr>
      <w:r>
        <w:rPr>
          <w:noProof/>
        </w:rPr>
        <w:pict>
          <v:shapetype id="_x0000_t202" coordsize="21600,21600" o:spt="202" path="m,l,21600r21600,l21600,xe">
            <v:stroke joinstyle="miter"/>
            <v:path gradientshapeok="t" o:connecttype="rect"/>
          </v:shapetype>
          <v:shape id="Text Box 2" o:spid="_x0000_s1040" type="#_x0000_t202" style="position:absolute;left:0;text-align:left;margin-left:9.45pt;margin-top:9.35pt;width:441.1pt;height:83.4pt;z-index:251658240;visibility:visible;mso-wrap-distance-left:9pt;mso-wrap-distance-top:0;mso-wrap-distance-right:9pt;mso-wrap-distance-bottom:0;mso-width-relative:margin;mso-height-relative:margin;v-text-anchor:top">
            <v:textbox style="mso-next-textbox:#Text Box 2">
              <w:txbxContent>
                <w:p w:rsidR="008A4280" w:rsidRPr="00D67F94" w:rsidRDefault="008A4280" w:rsidP="00D67F94">
                  <w:pPr>
                    <w:pStyle w:val="ListBullet"/>
                    <w:tabs>
                      <w:tab w:val="clear" w:pos="850"/>
                      <w:tab w:val="left" w:pos="440"/>
                      <w:tab w:val="num" w:pos="975"/>
                    </w:tabs>
                    <w:spacing w:before="120" w:after="120"/>
                    <w:ind w:left="442" w:hanging="442"/>
                  </w:pPr>
                  <w:r w:rsidRPr="00D67F94">
                    <w:rPr>
                      <w:rFonts w:ascii="Arial" w:hAnsi="Arial" w:cs="Arial"/>
                      <w:sz w:val="17"/>
                      <w:szCs w:val="17"/>
                    </w:rPr>
                    <w:t xml:space="preserve">The indicators represent different ways to describe fisheries policy transfers and measure their levels in relation to various key economic variables. Together they provide a comprehensive picture of fisheries support. </w:t>
                  </w:r>
                </w:p>
                <w:p w:rsidR="008A4280" w:rsidRDefault="008A4280" w:rsidP="00D67F94">
                  <w:pPr>
                    <w:pStyle w:val="ListBullet"/>
                    <w:tabs>
                      <w:tab w:val="clear" w:pos="850"/>
                      <w:tab w:val="left" w:pos="440"/>
                      <w:tab w:val="num" w:pos="975"/>
                    </w:tabs>
                    <w:spacing w:before="120" w:after="120"/>
                    <w:ind w:left="442" w:hanging="442"/>
                  </w:pPr>
                  <w:r w:rsidRPr="00D67F94">
                    <w:rPr>
                      <w:rFonts w:ascii="Arial" w:hAnsi="Arial" w:cs="Arial"/>
                      <w:sz w:val="17"/>
                      <w:szCs w:val="17"/>
                    </w:rPr>
                    <w:t>The indicators can be distinguished according to the recipient (initial or formal incidence) of the transfer, the unit of measurement in which they are expressed, and the type of aggregation.</w:t>
                  </w:r>
                </w:p>
              </w:txbxContent>
            </v:textbox>
            <w10:wrap type="topAndBottom"/>
          </v:shape>
        </w:pict>
      </w:r>
    </w:p>
    <w:p w:rsidR="007D0BB6" w:rsidRDefault="008A4280" w:rsidP="00947D13">
      <w:pPr>
        <w:pStyle w:val="Num-DocParagraph"/>
        <w:rPr>
          <w:color w:val="000000" w:themeColor="text1"/>
        </w:rPr>
      </w:pPr>
      <w:r>
        <w:fldChar w:fldCharType="begin"/>
      </w:r>
      <w:r>
        <w:instrText xml:space="preserve"> MACROBUTTON NUMBERING </w:instrText>
      </w:r>
      <w:r>
        <w:fldChar w:fldCharType="begin"/>
      </w:r>
      <w:r>
        <w:instrText xml:space="preserve"> SEQ  dpara</w:instrText>
      </w:r>
      <w:r>
        <w:fldChar w:fldCharType="separate"/>
      </w:r>
      <w:r w:rsidR="0042183E">
        <w:rPr>
          <w:noProof/>
        </w:rPr>
        <w:instrText>62</w:instrText>
      </w:r>
      <w:r>
        <w:fldChar w:fldCharType="end"/>
      </w:r>
      <w:r>
        <w:instrText>.</w:instrText>
      </w:r>
      <w:r>
        <w:tab/>
      </w:r>
      <w:r>
        <w:fldChar w:fldCharType="end"/>
      </w:r>
      <w:r w:rsidR="007D0BB6" w:rsidRPr="00D67F94">
        <w:t xml:space="preserve"> Indicators are a way to </w:t>
      </w:r>
      <w:r w:rsidR="007D0BB6" w:rsidRPr="00D67F94">
        <w:rPr>
          <w:color w:val="000000" w:themeColor="text1"/>
        </w:rPr>
        <w:t>take the raw data in the FSE and convert it to something that is understandable and informative regarding the status of fisheries policies in the country of interest or the OECD as a whole. Indicators help summarise and contextualise data, relating it to the size of the sector in terms of fleet and employment characteristics, size and value of harvest, and the relative size of the economy.</w:t>
      </w:r>
    </w:p>
    <w:p w:rsidR="00947D13" w:rsidRPr="00F421ED" w:rsidRDefault="007D0BB6" w:rsidP="00947D13">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63</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00947D13" w:rsidRPr="00F421ED">
        <w:rPr>
          <w:color w:val="000000" w:themeColor="text1"/>
        </w:rPr>
        <w:t xml:space="preserve">A good indicator is simple in calculation so that it is transparent. It should convey an unambiguous message—if an increase in the value of an indicator means something beneficial, than a decrease in its value should mean something harmful. For example, harvest level is a poor indicator of the health of the sector because high harvests could mean either healthy stocks or overfishing, while low harvests could mean depleted stocks or a sensible reduction to ensure rebuilding. </w:t>
      </w:r>
    </w:p>
    <w:p w:rsidR="00947D13" w:rsidRPr="00F421ED" w:rsidRDefault="00947D13" w:rsidP="00947D13">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64</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Pr="00F421ED">
        <w:rPr>
          <w:color w:val="000000" w:themeColor="text1"/>
        </w:rPr>
        <w:t>Indic</w:t>
      </w:r>
      <w:r w:rsidR="00BB3B06" w:rsidRPr="00F421ED">
        <w:rPr>
          <w:color w:val="000000" w:themeColor="text1"/>
        </w:rPr>
        <w:t>a</w:t>
      </w:r>
      <w:r w:rsidRPr="00F421ED">
        <w:rPr>
          <w:color w:val="000000" w:themeColor="text1"/>
        </w:rPr>
        <w:t xml:space="preserve">tors don’t always need to be evaluative in the sense of determining whether something is good or bad. </w:t>
      </w:r>
      <w:r w:rsidR="00A153B9" w:rsidRPr="00F421ED">
        <w:rPr>
          <w:color w:val="000000" w:themeColor="text1"/>
        </w:rPr>
        <w:t>A typical example of an</w:t>
      </w:r>
      <w:r w:rsidRPr="00F421ED">
        <w:rPr>
          <w:color w:val="000000" w:themeColor="text1"/>
        </w:rPr>
        <w:t xml:space="preserve"> indicator is the share of total revenue that comes from policy transfers (%TIF, </w:t>
      </w:r>
      <w:r w:rsidR="00A153B9" w:rsidRPr="00F421ED">
        <w:rPr>
          <w:color w:val="000000" w:themeColor="text1"/>
        </w:rPr>
        <w:t>see Box 6.1</w:t>
      </w:r>
      <w:r w:rsidRPr="00F421ED">
        <w:rPr>
          <w:color w:val="000000" w:themeColor="text1"/>
        </w:rPr>
        <w:t>). This indicates the level of policy effort relative to the economic scale of the sector, but does not inform on the impact of that effort. Nevertheless, such a measure of the scale of policy effort or intervention has been very useful and interesting to policy makers.</w:t>
      </w:r>
    </w:p>
    <w:p w:rsidR="00947D13" w:rsidRPr="00F421ED" w:rsidRDefault="00947D13" w:rsidP="00947D13">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65</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Pr="00F421ED">
        <w:rPr>
          <w:color w:val="000000" w:themeColor="text1"/>
        </w:rPr>
        <w:t>A set of indicators should provide context along a number of dimensions of the fishery—economic, physical and social. They should be understandable when presented for a single year and as a trend over time.</w:t>
      </w:r>
      <w:bookmarkStart w:id="255" w:name="_Toc163533482"/>
      <w:bookmarkStart w:id="256" w:name="_Toc172637680"/>
      <w:bookmarkStart w:id="257" w:name="_Toc172718568"/>
      <w:r w:rsidRPr="00F421ED">
        <w:rPr>
          <w:color w:val="000000" w:themeColor="text1"/>
        </w:rPr>
        <w:t xml:space="preserve"> Some indicators may make sense only when juxtaposed with others. For example, showing support per vessel could require the context of also showing support per fisher, or per kilowatt (</w:t>
      </w:r>
      <w:r w:rsidR="00BB3B06" w:rsidRPr="00F421ED">
        <w:rPr>
          <w:color w:val="000000" w:themeColor="text1"/>
        </w:rPr>
        <w:t>kW</w:t>
      </w:r>
      <w:r w:rsidRPr="00F421ED">
        <w:rPr>
          <w:color w:val="000000" w:themeColor="text1"/>
        </w:rPr>
        <w:t>) of power. Such grouped indicators will help characterise more completely the recipients of support.</w:t>
      </w:r>
    </w:p>
    <w:p w:rsidR="00947D13" w:rsidRPr="00F421ED" w:rsidRDefault="00A153B9" w:rsidP="00947D13">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66</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00947D13" w:rsidRPr="00F421ED">
        <w:rPr>
          <w:color w:val="000000" w:themeColor="text1"/>
        </w:rPr>
        <w:t>This chapter illustrate</w:t>
      </w:r>
      <w:r w:rsidR="00BB3B06" w:rsidRPr="00F421ED">
        <w:rPr>
          <w:color w:val="000000" w:themeColor="text1"/>
        </w:rPr>
        <w:t>s</w:t>
      </w:r>
      <w:r w:rsidR="00947D13" w:rsidRPr="00F421ED">
        <w:rPr>
          <w:color w:val="000000" w:themeColor="text1"/>
        </w:rPr>
        <w:t xml:space="preserve"> some possible uses of the FSE data. </w:t>
      </w:r>
      <w:r w:rsidR="00BB3B06" w:rsidRPr="00F421ED">
        <w:rPr>
          <w:color w:val="000000" w:themeColor="text1"/>
        </w:rPr>
        <w:t xml:space="preserve">It presents a possible set of indicators that would be open to modifications and to the development of indicators not currently described. </w:t>
      </w:r>
      <w:r w:rsidR="00947D13" w:rsidRPr="00F421ED">
        <w:rPr>
          <w:color w:val="000000" w:themeColor="text1"/>
        </w:rPr>
        <w:t xml:space="preserve">The indicators used for specific studies may be developed uniquely for them. </w:t>
      </w:r>
      <w:r w:rsidR="00AD3FDF" w:rsidRPr="00F421ED">
        <w:rPr>
          <w:color w:val="000000" w:themeColor="text1"/>
        </w:rPr>
        <w:t xml:space="preserve">The </w:t>
      </w:r>
      <w:r w:rsidR="00AD3FDF" w:rsidRPr="00F421ED">
        <w:rPr>
          <w:i/>
          <w:color w:val="000000" w:themeColor="text1"/>
        </w:rPr>
        <w:t>OECD Review of Fisheries</w:t>
      </w:r>
      <w:r w:rsidR="00AD3FDF" w:rsidRPr="00F421ED">
        <w:rPr>
          <w:color w:val="000000" w:themeColor="text1"/>
        </w:rPr>
        <w:t xml:space="preserve"> will use FSE indicators as part of its content, but probably not all of the indicators mentioned here. </w:t>
      </w:r>
    </w:p>
    <w:p w:rsidR="00A153B9" w:rsidRPr="00F421ED" w:rsidRDefault="00A153B9" w:rsidP="00947D13">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67</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Pr="00F421ED">
        <w:rPr>
          <w:color w:val="000000" w:themeColor="text1"/>
        </w:rPr>
        <w:t>The current version of these indicators excludes non-budgetary payments such as fuel tax concessions in all cases. All the equations that follow should be read to include budgetary payments only.</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9684"/>
      </w:tblGrid>
      <w:tr w:rsidR="006170FA" w:rsidTr="006170FA">
        <w:tc>
          <w:tcPr>
            <w:tcW w:w="9684" w:type="dxa"/>
            <w:shd w:val="clear" w:color="auto" w:fill="auto"/>
          </w:tcPr>
          <w:p w:rsidR="006170FA" w:rsidRDefault="006170FA" w:rsidP="006170FA">
            <w:pPr>
              <w:pStyle w:val="BoxHeading"/>
            </w:pPr>
            <w:bookmarkStart w:id="258" w:name="_Toc445908270"/>
            <w:bookmarkEnd w:id="255"/>
            <w:bookmarkEnd w:id="256"/>
            <w:bookmarkEnd w:id="257"/>
            <w:r>
              <w:t>Box 6.1. Some Potential Indicators based on the FSE</w:t>
            </w:r>
            <w:bookmarkEnd w:id="258"/>
          </w:p>
          <w:p w:rsidR="006170FA" w:rsidRPr="006170FA" w:rsidRDefault="006170FA" w:rsidP="006170FA">
            <w:pPr>
              <w:pStyle w:val="BoxBodyText"/>
              <w:rPr>
                <w:b/>
                <w:lang w:val="en-GB"/>
              </w:rPr>
            </w:pPr>
            <w:r w:rsidRPr="006170FA">
              <w:rPr>
                <w:b/>
                <w:lang w:val="en-GB"/>
              </w:rPr>
              <w:t>I Indicators based on the level of support</w:t>
            </w:r>
          </w:p>
          <w:p w:rsidR="006170FA" w:rsidRPr="006170FA" w:rsidRDefault="006170FA" w:rsidP="006170FA">
            <w:pPr>
              <w:pStyle w:val="BoxBodyText"/>
              <w:ind w:left="426" w:firstLine="0"/>
              <w:rPr>
                <w:lang w:val="en-GB"/>
              </w:rPr>
            </w:pPr>
            <w:r w:rsidRPr="006170FA">
              <w:rPr>
                <w:b/>
                <w:i/>
                <w:lang w:val="en-GB"/>
              </w:rPr>
              <w:lastRenderedPageBreak/>
              <w:t>Fisheries Support Estimate (FSE):</w:t>
            </w:r>
            <w:r w:rsidRPr="006170FA">
              <w:rPr>
                <w:lang w:val="en-GB"/>
              </w:rPr>
              <w:t xml:space="preserve"> The annual monetary value of all transfers arising from policies that support fisheries, net of the associated budgetary receipts, regardless of their objectives and impacts.</w:t>
            </w:r>
          </w:p>
          <w:p w:rsidR="006170FA" w:rsidRPr="006170FA" w:rsidRDefault="006170FA" w:rsidP="006170FA">
            <w:pPr>
              <w:pStyle w:val="BoxBodyText"/>
              <w:ind w:left="426" w:firstLine="0"/>
              <w:rPr>
                <w:lang w:val="en-GB"/>
              </w:rPr>
            </w:pPr>
            <w:r w:rsidRPr="006170FA">
              <w:rPr>
                <w:b/>
                <w:i/>
                <w:lang w:val="en-GB"/>
              </w:rPr>
              <w:t>Transfers to individual fishers (TIF):</w:t>
            </w:r>
            <w:r w:rsidRPr="006170FA">
              <w:rPr>
                <w:lang w:val="en-GB"/>
              </w:rPr>
              <w:t xml:space="preserve"> The annual monetary value of gross transfers from taxpayers to fishers arising from policies that support fisheries, regardless of their nature, objectives or impacts on production or income. </w:t>
            </w:r>
          </w:p>
          <w:p w:rsidR="006170FA" w:rsidRPr="006170FA" w:rsidRDefault="006170FA" w:rsidP="006170FA">
            <w:pPr>
              <w:pStyle w:val="BoxBodyText"/>
              <w:ind w:left="426" w:firstLine="0"/>
              <w:rPr>
                <w:lang w:val="en-GB"/>
              </w:rPr>
            </w:pPr>
            <w:r w:rsidRPr="006170FA">
              <w:rPr>
                <w:b/>
                <w:i/>
                <w:lang w:val="en-GB"/>
              </w:rPr>
              <w:t>General Services Support Estimate (GSSE):</w:t>
            </w:r>
            <w:r w:rsidRPr="006170FA">
              <w:rPr>
                <w:lang w:val="en-GB"/>
              </w:rPr>
              <w:t xml:space="preserve"> The annual monetary value of gross transfers arising from policy measures that create enabling conditions for the fisheries sector through the development of private or public services, institutions and infrastructure regardless of their objectives and impact. It includes policies where fisheries are the main beneficiary, but does not include any payments to individual fishers. GSSE transfers only indirectly affect fishers’ receipts or costs.</w:t>
            </w:r>
          </w:p>
          <w:p w:rsidR="006170FA" w:rsidRPr="008A4280" w:rsidRDefault="006170FA" w:rsidP="006170FA">
            <w:pPr>
              <w:pStyle w:val="BoxBodyText"/>
              <w:rPr>
                <w:b/>
                <w:lang w:val="en-GB"/>
              </w:rPr>
            </w:pPr>
            <w:r w:rsidRPr="008A4280">
              <w:rPr>
                <w:b/>
                <w:lang w:val="en-GB"/>
              </w:rPr>
              <w:t>II Indicators based on p</w:t>
            </w:r>
            <w:r w:rsidR="008A4280">
              <w:rPr>
                <w:b/>
                <w:lang w:val="en-GB"/>
              </w:rPr>
              <w:t>ercentages</w:t>
            </w:r>
          </w:p>
          <w:p w:rsidR="006170FA" w:rsidRDefault="006170FA" w:rsidP="008A4280">
            <w:pPr>
              <w:pStyle w:val="BoxBodyText"/>
              <w:ind w:left="426" w:firstLine="0"/>
              <w:rPr>
                <w:lang w:val="en-GB"/>
              </w:rPr>
            </w:pPr>
            <w:r w:rsidRPr="008A4280">
              <w:rPr>
                <w:b/>
                <w:i/>
                <w:lang w:val="en-GB"/>
              </w:rPr>
              <w:t>Percentage TIF (%TIF):</w:t>
            </w:r>
            <w:r w:rsidRPr="006170FA">
              <w:rPr>
                <w:lang w:val="en-GB"/>
              </w:rPr>
              <w:t xml:space="preserve"> TIF as a share of gross fishing receipts.</w:t>
            </w:r>
          </w:p>
          <w:p w:rsidR="00784546" w:rsidRPr="00784546" w:rsidRDefault="00784546" w:rsidP="00784546">
            <w:pPr>
              <w:pStyle w:val="BoxBodyText"/>
              <w:ind w:left="426" w:firstLine="0"/>
              <w:rPr>
                <w:lang w:val="en-GB"/>
              </w:rPr>
            </w:pPr>
            <w:r w:rsidRPr="00784546">
              <w:rPr>
                <w:b/>
                <w:i/>
                <w:lang w:val="en-GB"/>
              </w:rPr>
              <w:t>Percentage FSE (%FSE):</w:t>
            </w:r>
            <w:r w:rsidRPr="00784546">
              <w:rPr>
                <w:lang w:val="en-GB"/>
              </w:rPr>
              <w:t xml:space="preserve"> FSE as a share of gross fishing receipts</w:t>
            </w:r>
          </w:p>
          <w:p w:rsidR="00ED262E" w:rsidRPr="00ED262E" w:rsidRDefault="00ED262E" w:rsidP="008A4280">
            <w:pPr>
              <w:pStyle w:val="BoxBodyText"/>
              <w:ind w:left="426" w:firstLine="0"/>
              <w:rPr>
                <w:lang w:val="en-GB"/>
              </w:rPr>
            </w:pPr>
            <w:r w:rsidRPr="00ED262E">
              <w:rPr>
                <w:b/>
                <w:i/>
                <w:lang w:val="en-GB"/>
              </w:rPr>
              <w:t>TIF as share of FSE</w:t>
            </w:r>
            <w:r>
              <w:rPr>
                <w:lang w:val="en-GB"/>
              </w:rPr>
              <w:t xml:space="preserve">: </w:t>
            </w:r>
            <w:r w:rsidRPr="006170FA">
              <w:rPr>
                <w:lang w:val="en-GB"/>
              </w:rPr>
              <w:t xml:space="preserve">TIF as a share of </w:t>
            </w:r>
            <w:r>
              <w:rPr>
                <w:lang w:val="en-GB"/>
              </w:rPr>
              <w:t>all support</w:t>
            </w:r>
          </w:p>
          <w:p w:rsidR="00784546" w:rsidRDefault="00784546" w:rsidP="00784546">
            <w:pPr>
              <w:pStyle w:val="BoxBodyText"/>
              <w:ind w:left="426" w:firstLine="0"/>
              <w:rPr>
                <w:lang w:val="en-GB"/>
              </w:rPr>
            </w:pPr>
            <w:r w:rsidRPr="008A4280">
              <w:rPr>
                <w:b/>
                <w:i/>
                <w:lang w:val="en-GB"/>
              </w:rPr>
              <w:t>GSSE as share of FSE (%GSSE):</w:t>
            </w:r>
            <w:r w:rsidRPr="006170FA">
              <w:rPr>
                <w:lang w:val="en-GB"/>
              </w:rPr>
              <w:t xml:space="preserve"> The GSSE expressed as a percentage of all gross transfers. </w:t>
            </w:r>
          </w:p>
          <w:p w:rsidR="006170FA" w:rsidRPr="006170FA" w:rsidRDefault="006170FA" w:rsidP="008A4280">
            <w:pPr>
              <w:pStyle w:val="BoxBodyText"/>
              <w:ind w:left="426" w:firstLine="0"/>
              <w:rPr>
                <w:lang w:val="en-GB"/>
              </w:rPr>
            </w:pPr>
            <w:r w:rsidRPr="008A4280">
              <w:rPr>
                <w:b/>
                <w:i/>
                <w:lang w:val="en-GB"/>
              </w:rPr>
              <w:t>Cost recovery as a share of GSSE (%CR):</w:t>
            </w:r>
            <w:r w:rsidRPr="006170FA">
              <w:rPr>
                <w:lang w:val="en-GB"/>
              </w:rPr>
              <w:t xml:space="preserve"> Share of GSSE transfers recovered through contributions by fishers.</w:t>
            </w:r>
          </w:p>
          <w:p w:rsidR="00784546" w:rsidRDefault="00784546" w:rsidP="00784546">
            <w:pPr>
              <w:pStyle w:val="BoxBodyText"/>
              <w:ind w:left="426" w:firstLine="0"/>
              <w:rPr>
                <w:lang w:val="en-GB"/>
              </w:rPr>
            </w:pPr>
            <w:r>
              <w:rPr>
                <w:b/>
                <w:i/>
                <w:lang w:val="en-GB"/>
              </w:rPr>
              <w:t xml:space="preserve">Payments for Modernisation as a share of TIF: </w:t>
            </w:r>
            <w:r>
              <w:rPr>
                <w:lang w:val="en-GB"/>
              </w:rPr>
              <w:t>The share of TIF that is dedicated to vessel modernisation.</w:t>
            </w:r>
          </w:p>
          <w:p w:rsidR="00784546" w:rsidRPr="00784546" w:rsidRDefault="00784546" w:rsidP="00784546">
            <w:pPr>
              <w:pStyle w:val="BoxBodyText"/>
              <w:ind w:left="426" w:firstLine="0"/>
              <w:rPr>
                <w:lang w:val="en-GB"/>
              </w:rPr>
            </w:pPr>
            <w:r w:rsidRPr="00784546">
              <w:rPr>
                <w:b/>
                <w:i/>
                <w:lang w:val="en-GB"/>
              </w:rPr>
              <w:t>Management expenditures as a share of GSSE</w:t>
            </w:r>
            <w:r>
              <w:rPr>
                <w:lang w:val="en-GB"/>
              </w:rPr>
              <w:t>: The share of general support that is dedicated to management.</w:t>
            </w:r>
          </w:p>
          <w:p w:rsidR="00ED262E" w:rsidRPr="00ED262E" w:rsidRDefault="00ED262E" w:rsidP="00ED262E">
            <w:pPr>
              <w:pStyle w:val="BoxBodyText"/>
              <w:ind w:left="426" w:firstLine="0"/>
              <w:rPr>
                <w:lang w:val="en-GB"/>
              </w:rPr>
            </w:pPr>
            <w:r w:rsidRPr="00ED262E">
              <w:rPr>
                <w:b/>
                <w:i/>
                <w:lang w:val="en-GB"/>
              </w:rPr>
              <w:t>Total Support per Vessel (SPV):</w:t>
            </w:r>
            <w:r w:rsidRPr="00ED262E">
              <w:rPr>
                <w:lang w:val="en-GB"/>
              </w:rPr>
              <w:t xml:space="preserve"> </w:t>
            </w:r>
            <w:r w:rsidR="00784546">
              <w:rPr>
                <w:lang w:val="en-GB"/>
              </w:rPr>
              <w:t>FSE per vessel</w:t>
            </w:r>
            <w:r w:rsidRPr="00ED262E">
              <w:rPr>
                <w:lang w:val="en-GB"/>
              </w:rPr>
              <w:t>. Fleets vary by segment, but an overall per-vessel number provides some indication of policy intensity in the sector.</w:t>
            </w:r>
          </w:p>
          <w:p w:rsidR="006170FA" w:rsidRPr="006170FA" w:rsidRDefault="00784546" w:rsidP="008A4280">
            <w:pPr>
              <w:pStyle w:val="BoxBodyText"/>
              <w:ind w:left="426" w:firstLine="0"/>
              <w:rPr>
                <w:lang w:val="en-GB"/>
              </w:rPr>
            </w:pPr>
            <w:r w:rsidRPr="00ED262E">
              <w:rPr>
                <w:b/>
                <w:i/>
                <w:lang w:val="en-GB"/>
              </w:rPr>
              <w:t xml:space="preserve">Total Support per </w:t>
            </w:r>
            <w:r>
              <w:rPr>
                <w:b/>
                <w:i/>
                <w:lang w:val="en-GB"/>
              </w:rPr>
              <w:t>GT</w:t>
            </w:r>
            <w:r w:rsidRPr="00ED262E">
              <w:rPr>
                <w:b/>
                <w:i/>
                <w:lang w:val="en-GB"/>
              </w:rPr>
              <w:t xml:space="preserve"> (SP</w:t>
            </w:r>
            <w:r>
              <w:rPr>
                <w:b/>
                <w:i/>
                <w:lang w:val="en-GB"/>
              </w:rPr>
              <w:t>T</w:t>
            </w:r>
            <w:r w:rsidRPr="00ED262E">
              <w:rPr>
                <w:b/>
                <w:i/>
                <w:lang w:val="en-GB"/>
              </w:rPr>
              <w:t>):</w:t>
            </w:r>
            <w:r w:rsidRPr="00ED262E">
              <w:rPr>
                <w:lang w:val="en-GB"/>
              </w:rPr>
              <w:t xml:space="preserve"> </w:t>
            </w:r>
            <w:r>
              <w:rPr>
                <w:lang w:val="en-GB"/>
              </w:rPr>
              <w:t>FSE per tonne of fleet capacity. An alternative measure</w:t>
            </w:r>
            <w:r w:rsidRPr="00ED262E">
              <w:rPr>
                <w:lang w:val="en-GB"/>
              </w:rPr>
              <w:t xml:space="preserve"> of policy intensity in the sector.</w:t>
            </w:r>
          </w:p>
        </w:tc>
      </w:tr>
    </w:tbl>
    <w:p w:rsidR="006170FA" w:rsidRPr="006170FA" w:rsidRDefault="006170FA" w:rsidP="006170FA">
      <w:pPr>
        <w:pStyle w:val="BoxBodyText"/>
        <w:rPr>
          <w:lang w:val="en-GB"/>
        </w:rPr>
      </w:pPr>
    </w:p>
    <w:bookmarkStart w:id="259" w:name="_Toc160608185"/>
    <w:bookmarkStart w:id="260" w:name="_Toc160608250"/>
    <w:bookmarkStart w:id="261" w:name="_Toc160608438"/>
    <w:bookmarkStart w:id="262" w:name="_Toc160609010"/>
    <w:bookmarkStart w:id="263" w:name="_Toc160609143"/>
    <w:bookmarkStart w:id="264" w:name="_Toc160609276"/>
    <w:p w:rsidR="00947D13" w:rsidRPr="00F421ED" w:rsidRDefault="00AC7DB7" w:rsidP="007D0BB6">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68</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Pr="00F421ED">
        <w:rPr>
          <w:color w:val="000000" w:themeColor="text1"/>
        </w:rPr>
        <w:t xml:space="preserve">The fisheries support estimate can be used to quantify both the level and the composition of support that arise from policies supporting fisheries. The level of producer support and its composition is the information most commonly utilised. This chapter shows how the indicators can be used to interpret developments in the level of producer support, and how the composition of producer support can be shown in terms of the categories (and sub-categories) into which policies are classified and the labels attached to these policies, including the degree of commodity specificity. The level and composition of support to the agricultural sector as a whole can be evaluated through the FSE. </w:t>
      </w:r>
    </w:p>
    <w:p w:rsidR="00947D13" w:rsidRPr="00F421ED" w:rsidRDefault="007B4CE8" w:rsidP="00947D13">
      <w:pPr>
        <w:pStyle w:val="Heading2"/>
        <w:tabs>
          <w:tab w:val="left" w:pos="5068"/>
        </w:tabs>
        <w:rPr>
          <w:color w:val="000000" w:themeColor="text1"/>
          <w:sz w:val="21"/>
          <w:szCs w:val="21"/>
        </w:rPr>
      </w:pPr>
      <w:bookmarkStart w:id="265" w:name="_Toc163533510"/>
      <w:bookmarkStart w:id="266" w:name="_Toc172718605"/>
      <w:bookmarkStart w:id="267" w:name="_Toc176615872"/>
      <w:bookmarkStart w:id="268" w:name="_Toc176630062"/>
      <w:bookmarkStart w:id="269" w:name="_Toc203897832"/>
      <w:bookmarkStart w:id="270" w:name="_Toc203898506"/>
      <w:bookmarkStart w:id="271" w:name="_Toc272931612"/>
      <w:bookmarkStart w:id="272" w:name="_Toc273007914"/>
      <w:bookmarkStart w:id="273" w:name="_Toc361730752"/>
      <w:bookmarkStart w:id="274" w:name="_Toc445973535"/>
      <w:r w:rsidRPr="00F421ED">
        <w:rPr>
          <w:color w:val="000000" w:themeColor="text1"/>
          <w:sz w:val="21"/>
          <w:szCs w:val="21"/>
        </w:rPr>
        <w:t>6</w:t>
      </w:r>
      <w:r w:rsidR="00947D13" w:rsidRPr="00F421ED">
        <w:rPr>
          <w:color w:val="000000" w:themeColor="text1"/>
          <w:sz w:val="21"/>
          <w:szCs w:val="21"/>
        </w:rPr>
        <w:t>.1.</w:t>
      </w:r>
      <w:r w:rsidR="00947D13" w:rsidRPr="00F421ED">
        <w:rPr>
          <w:color w:val="000000" w:themeColor="text1"/>
          <w:sz w:val="21"/>
          <w:szCs w:val="21"/>
        </w:rPr>
        <w:tab/>
        <w:t>Interpreting the level of support</w:t>
      </w:r>
      <w:bookmarkEnd w:id="265"/>
      <w:bookmarkEnd w:id="266"/>
      <w:bookmarkEnd w:id="267"/>
      <w:bookmarkEnd w:id="268"/>
      <w:bookmarkEnd w:id="269"/>
      <w:bookmarkEnd w:id="270"/>
      <w:bookmarkEnd w:id="271"/>
      <w:bookmarkEnd w:id="272"/>
      <w:bookmarkEnd w:id="273"/>
      <w:bookmarkEnd w:id="274"/>
    </w:p>
    <w:bookmarkStart w:id="275" w:name="_Toc163533512"/>
    <w:bookmarkStart w:id="276" w:name="_Toc172718606"/>
    <w:bookmarkStart w:id="277" w:name="_Toc176615873"/>
    <w:bookmarkStart w:id="278" w:name="_Toc176630063"/>
    <w:bookmarkStart w:id="279" w:name="_Toc178592043"/>
    <w:bookmarkStart w:id="280" w:name="_Toc203897833"/>
    <w:bookmarkStart w:id="281" w:name="_Toc203898507"/>
    <w:bookmarkStart w:id="282" w:name="_Toc272931613"/>
    <w:bookmarkStart w:id="283" w:name="_Toc273007915"/>
    <w:bookmarkStart w:id="284" w:name="_Toc361730753"/>
    <w:bookmarkEnd w:id="259"/>
    <w:bookmarkEnd w:id="260"/>
    <w:bookmarkEnd w:id="261"/>
    <w:bookmarkEnd w:id="262"/>
    <w:bookmarkEnd w:id="263"/>
    <w:bookmarkEnd w:id="264"/>
    <w:p w:rsidR="008A4280" w:rsidRPr="004D3416" w:rsidRDefault="008A4280" w:rsidP="008A4280">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69</w:instrText>
      </w:r>
      <w:r>
        <w:fldChar w:fldCharType="end"/>
      </w:r>
      <w:r>
        <w:instrText>.</w:instrText>
      </w:r>
      <w:r>
        <w:tab/>
      </w:r>
      <w:r>
        <w:fldChar w:fldCharType="end"/>
      </w:r>
      <w:r>
        <w:t>F</w:t>
      </w:r>
      <w:r w:rsidRPr="004D3416">
        <w:t>undamental for understanding th</w:t>
      </w:r>
      <w:r>
        <w:t xml:space="preserve">e indicators </w:t>
      </w:r>
      <w:r w:rsidRPr="004D3416">
        <w:t xml:space="preserve">is the distinction between the notions of “provision of support” and the “impact of support” (i.e. impacts of policy transfers). The indicators are the various measures of gross policy transfers. As such, they reflect the </w:t>
      </w:r>
      <w:r w:rsidRPr="004D3416">
        <w:rPr>
          <w:i/>
        </w:rPr>
        <w:t>provision</w:t>
      </w:r>
      <w:r w:rsidRPr="004D3416">
        <w:t xml:space="preserve"> of support, or the level of effort made by governments, as implied by their </w:t>
      </w:r>
      <w:r>
        <w:t>fisheries</w:t>
      </w:r>
      <w:r w:rsidRPr="004D3416">
        <w:t xml:space="preserve"> policies. The indicators do not account for</w:t>
      </w:r>
      <w:r>
        <w:t xml:space="preserve"> the impact of the support. They do not account in particular for</w:t>
      </w:r>
      <w:r w:rsidRPr="004D3416">
        <w:t xml:space="preserve"> the losses of that effort within the economic system, as experienced by the recipients of support. </w:t>
      </w:r>
      <w:r>
        <w:t xml:space="preserve">A </w:t>
      </w:r>
      <w:r w:rsidRPr="004D3416">
        <w:t>proportion of the transfers will not end up as extra net income</w:t>
      </w:r>
      <w:r>
        <w:t xml:space="preserve"> for fishers</w:t>
      </w:r>
      <w:r w:rsidRPr="004D3416">
        <w:t xml:space="preserve"> because support </w:t>
      </w:r>
      <w:r>
        <w:t>changes incentives, prices and actions, thus</w:t>
      </w:r>
      <w:r w:rsidRPr="004D3416">
        <w:t xml:space="preserve"> generating deadweight loss of economic welfare. Moreover, the actual impact of </w:t>
      </w:r>
      <w:r>
        <w:t xml:space="preserve">a </w:t>
      </w:r>
      <w:r w:rsidRPr="004D3416">
        <w:t>polic</w:t>
      </w:r>
      <w:r>
        <w:t>y</w:t>
      </w:r>
      <w:r w:rsidRPr="004D3416">
        <w:t xml:space="preserve"> on its recipients will depend on, among other </w:t>
      </w:r>
      <w:r w:rsidRPr="004D3416">
        <w:lastRenderedPageBreak/>
        <w:t xml:space="preserve">things, the basis upon which </w:t>
      </w:r>
      <w:r>
        <w:t xml:space="preserve">the </w:t>
      </w:r>
      <w:r w:rsidRPr="004D3416">
        <w:t>support is provided (e.g</w:t>
      </w:r>
      <w:r w:rsidRPr="004D3416">
        <w:rPr>
          <w:i/>
        </w:rPr>
        <w:t>.</w:t>
      </w:r>
      <w:r w:rsidRPr="004D3416">
        <w:t xml:space="preserve"> whether it is provided per tonne, per </w:t>
      </w:r>
      <w:r>
        <w:t>vessel</w:t>
      </w:r>
      <w:r w:rsidRPr="004D3416">
        <w:t xml:space="preserve">, </w:t>
      </w:r>
      <w:r>
        <w:t xml:space="preserve">or </w:t>
      </w:r>
      <w:r w:rsidRPr="004D3416">
        <w:t xml:space="preserve">per </w:t>
      </w:r>
      <w:r>
        <w:t>crew member</w:t>
      </w:r>
      <w:r w:rsidRPr="004D3416">
        <w:t xml:space="preserve">), the level of support, and the responsiveness of </w:t>
      </w:r>
      <w:r>
        <w:t>fishers (and fisheries)</w:t>
      </w:r>
      <w:r w:rsidRPr="004D3416">
        <w:t xml:space="preserve"> to changes in support. The indicators, therefore, are not intended to and do not measure </w:t>
      </w:r>
      <w:r w:rsidRPr="004D3416">
        <w:rPr>
          <w:i/>
        </w:rPr>
        <w:t>the impact</w:t>
      </w:r>
      <w:r w:rsidRPr="004D3416">
        <w:t xml:space="preserve"> of policy effort on </w:t>
      </w:r>
      <w:r>
        <w:t>harvest</w:t>
      </w:r>
      <w:r w:rsidRPr="004D3416">
        <w:t xml:space="preserve">, </w:t>
      </w:r>
      <w:r>
        <w:t>income</w:t>
      </w:r>
      <w:r w:rsidRPr="004D3416">
        <w:t xml:space="preserve">, </w:t>
      </w:r>
      <w:r>
        <w:t>fleet capacity or effort</w:t>
      </w:r>
      <w:r w:rsidRPr="004D3416">
        <w:t xml:space="preserve">. This explanation of the indicators as representing measures of policy effort is crucial for understanding them properly. </w:t>
      </w:r>
    </w:p>
    <w:p w:rsidR="008A4280" w:rsidRDefault="008A4280" w:rsidP="008A4280">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70</w:instrText>
      </w:r>
      <w:r>
        <w:fldChar w:fldCharType="end"/>
      </w:r>
      <w:r>
        <w:instrText>.</w:instrText>
      </w:r>
      <w:r>
        <w:tab/>
      </w:r>
      <w:r>
        <w:fldChar w:fldCharType="end"/>
      </w:r>
      <w:r>
        <w:t>The support indicators</w:t>
      </w:r>
      <w:r w:rsidRPr="004D3416">
        <w:t xml:space="preserve"> </w:t>
      </w:r>
      <w:r>
        <w:t xml:space="preserve">provide </w:t>
      </w:r>
      <w:r w:rsidRPr="004D3416">
        <w:t xml:space="preserve">different ways to analyse </w:t>
      </w:r>
      <w:r>
        <w:t>fisheries</w:t>
      </w:r>
      <w:r w:rsidRPr="004D3416">
        <w:t xml:space="preserve"> policy transfers and measure their levels in relation to various key economic variables. No single indicator can capture all aspects of </w:t>
      </w:r>
      <w:r>
        <w:t>fisheries</w:t>
      </w:r>
      <w:r w:rsidRPr="004D3416">
        <w:t xml:space="preserve"> support. Each serves a purpose, highlighting a dimension of the support framework. The indicators are interlinked and mutually reinforcing. When analysed together, they provide a comprehensive picture of the level and composition of support. </w:t>
      </w:r>
    </w:p>
    <w:p w:rsidR="008A4280" w:rsidRPr="008A4280" w:rsidRDefault="008A4280" w:rsidP="008A4280">
      <w:pPr>
        <w:pStyle w:val="Num-DocParagraph"/>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71</w:instrText>
      </w:r>
      <w:r>
        <w:rPr>
          <w:sz w:val="21"/>
          <w:szCs w:val="21"/>
        </w:rPr>
        <w:fldChar w:fldCharType="end"/>
      </w:r>
      <w:r>
        <w:rPr>
          <w:sz w:val="21"/>
          <w:szCs w:val="21"/>
        </w:rPr>
        <w:instrText>.</w:instrText>
      </w:r>
      <w:r>
        <w:rPr>
          <w:sz w:val="21"/>
          <w:szCs w:val="21"/>
        </w:rPr>
        <w:tab/>
      </w:r>
      <w:r>
        <w:rPr>
          <w:sz w:val="21"/>
          <w:szCs w:val="21"/>
        </w:rPr>
        <w:fldChar w:fldCharType="end"/>
      </w:r>
      <w:r>
        <w:rPr>
          <w:sz w:val="21"/>
          <w:szCs w:val="21"/>
        </w:rPr>
        <w:t>Two</w:t>
      </w:r>
      <w:r w:rsidRPr="004D3416">
        <w:rPr>
          <w:sz w:val="21"/>
          <w:szCs w:val="21"/>
        </w:rPr>
        <w:t xml:space="preserve"> distinctions can be made between the indicators</w:t>
      </w:r>
      <w:r>
        <w:rPr>
          <w:sz w:val="21"/>
          <w:szCs w:val="21"/>
        </w:rPr>
        <w:t>:</w:t>
      </w:r>
      <w:r w:rsidRPr="004D3416">
        <w:rPr>
          <w:sz w:val="21"/>
          <w:szCs w:val="21"/>
        </w:rPr>
        <w:t xml:space="preserve"> </w:t>
      </w:r>
      <w:r>
        <w:t>The</w:t>
      </w:r>
      <w:r w:rsidRPr="00B15CC7">
        <w:t xml:space="preserve"> </w:t>
      </w:r>
      <w:r w:rsidRPr="00B15CC7">
        <w:rPr>
          <w:b/>
          <w:i/>
        </w:rPr>
        <w:t>intended recipient</w:t>
      </w:r>
      <w:r w:rsidRPr="00B15CC7">
        <w:t xml:space="preserve"> of the transfer – fishers individually or fishers collectively</w:t>
      </w:r>
      <w:r>
        <w:t>; and t</w:t>
      </w:r>
      <w:r w:rsidRPr="004D3416">
        <w:t xml:space="preserve">he </w:t>
      </w:r>
      <w:r w:rsidRPr="004D3416">
        <w:rPr>
          <w:b/>
          <w:i/>
        </w:rPr>
        <w:t>unit of measurement</w:t>
      </w:r>
      <w:r>
        <w:t xml:space="preserve">. </w:t>
      </w:r>
      <w:r w:rsidRPr="004D3416">
        <w:t xml:space="preserve"> </w:t>
      </w:r>
      <w:r>
        <w:t>Indicators can be</w:t>
      </w:r>
      <w:r w:rsidRPr="004D3416">
        <w:t xml:space="preserve"> expressed in </w:t>
      </w:r>
      <w:r w:rsidRPr="004D3416">
        <w:rPr>
          <w:i/>
        </w:rPr>
        <w:t>monetary</w:t>
      </w:r>
      <w:r w:rsidRPr="004D3416">
        <w:t xml:space="preserve"> terms</w:t>
      </w:r>
      <w:r>
        <w:t xml:space="preserve"> or in </w:t>
      </w:r>
      <w:r w:rsidRPr="004D3416">
        <w:rPr>
          <w:i/>
        </w:rPr>
        <w:t xml:space="preserve">percentages </w:t>
      </w:r>
      <w:r w:rsidRPr="004D3416">
        <w:t xml:space="preserve">or </w:t>
      </w:r>
      <w:r w:rsidRPr="004D3416">
        <w:rPr>
          <w:i/>
        </w:rPr>
        <w:t>ratios</w:t>
      </w:r>
      <w:r w:rsidRPr="004D3416">
        <w:t xml:space="preserve">. An advantage of monetary indicators is that they can be used to analyse the composition of support, e.g. to calculate the shares </w:t>
      </w:r>
      <w:r>
        <w:t>of support by policy category</w:t>
      </w:r>
      <w:r w:rsidRPr="004D3416">
        <w:t xml:space="preserve">. However, the monetary indicators are influenced </w:t>
      </w:r>
      <w:r w:rsidRPr="004D3416">
        <w:rPr>
          <w:lang w:eastAsia="en-US"/>
        </w:rPr>
        <w:t xml:space="preserve">by the size and structure of the country’s </w:t>
      </w:r>
      <w:r>
        <w:rPr>
          <w:lang w:eastAsia="en-US"/>
        </w:rPr>
        <w:t>fisheries</w:t>
      </w:r>
      <w:r w:rsidRPr="004D3416">
        <w:rPr>
          <w:lang w:eastAsia="en-US"/>
        </w:rPr>
        <w:t xml:space="preserve"> sector, as well as the country’s rate of inflation</w:t>
      </w:r>
      <w:r w:rsidRPr="004D3416">
        <w:t>. Consequently, there are difficulties in using them</w:t>
      </w:r>
      <w:r w:rsidRPr="004D3416">
        <w:rPr>
          <w:lang w:eastAsia="en-US"/>
        </w:rPr>
        <w:t xml:space="preserve"> to compare support levels between </w:t>
      </w:r>
      <w:r w:rsidRPr="004D3416">
        <w:t>countries</w:t>
      </w:r>
      <w:r>
        <w:t xml:space="preserve"> or to evaluate changes over time</w:t>
      </w:r>
      <w:r w:rsidRPr="004D3416">
        <w:rPr>
          <w:lang w:eastAsia="en-US"/>
        </w:rPr>
        <w:t>.</w:t>
      </w:r>
      <w:r w:rsidRPr="004D3416">
        <w:t xml:space="preserve"> In contrast, percentage indicators and ratios, which relate policy transfers to some other monetary base, e.g</w:t>
      </w:r>
      <w:r w:rsidRPr="004D3416">
        <w:rPr>
          <w:i/>
        </w:rPr>
        <w:t>.</w:t>
      </w:r>
      <w:r w:rsidRPr="004D3416">
        <w:t xml:space="preserve"> the value of </w:t>
      </w:r>
      <w:r>
        <w:t>fisheries</w:t>
      </w:r>
      <w:r w:rsidRPr="004D3416">
        <w:t xml:space="preserve"> production, allow such comparisons to be made. </w:t>
      </w:r>
    </w:p>
    <w:p w:rsidR="00947D13" w:rsidRPr="00F421ED" w:rsidRDefault="007B4CE8" w:rsidP="00947D13">
      <w:pPr>
        <w:pStyle w:val="Heading3"/>
        <w:tabs>
          <w:tab w:val="left" w:pos="5068"/>
        </w:tabs>
        <w:rPr>
          <w:color w:val="000000" w:themeColor="text1"/>
          <w:sz w:val="21"/>
          <w:szCs w:val="21"/>
        </w:rPr>
      </w:pPr>
      <w:bookmarkStart w:id="285" w:name="_Toc445973536"/>
      <w:r w:rsidRPr="00F421ED">
        <w:rPr>
          <w:color w:val="000000" w:themeColor="text1"/>
          <w:sz w:val="21"/>
          <w:szCs w:val="21"/>
        </w:rPr>
        <w:t>6</w:t>
      </w:r>
      <w:r w:rsidR="00947D13" w:rsidRPr="00F421ED">
        <w:rPr>
          <w:color w:val="000000" w:themeColor="text1"/>
          <w:sz w:val="21"/>
          <w:szCs w:val="21"/>
        </w:rPr>
        <w:t>.1.1.</w:t>
      </w:r>
      <w:r w:rsidR="00947D13" w:rsidRPr="00F421ED">
        <w:rPr>
          <w:color w:val="000000" w:themeColor="text1"/>
          <w:sz w:val="21"/>
          <w:szCs w:val="21"/>
        </w:rPr>
        <w:tab/>
        <w:t>Level of support</w:t>
      </w:r>
      <w:bookmarkEnd w:id="275"/>
      <w:r w:rsidR="00947D13" w:rsidRPr="00F421ED">
        <w:rPr>
          <w:color w:val="000000" w:themeColor="text1"/>
          <w:sz w:val="21"/>
          <w:szCs w:val="21"/>
        </w:rPr>
        <w:t xml:space="preserve"> – national (aggregate) level</w:t>
      </w:r>
      <w:bookmarkEnd w:id="276"/>
      <w:bookmarkEnd w:id="277"/>
      <w:bookmarkEnd w:id="278"/>
      <w:bookmarkEnd w:id="279"/>
      <w:bookmarkEnd w:id="280"/>
      <w:bookmarkEnd w:id="281"/>
      <w:bookmarkEnd w:id="282"/>
      <w:bookmarkEnd w:id="283"/>
      <w:bookmarkEnd w:id="284"/>
      <w:bookmarkEnd w:id="285"/>
    </w:p>
    <w:p w:rsidR="00947D13" w:rsidRPr="00F421ED" w:rsidRDefault="00947D13" w:rsidP="00947D13">
      <w:pPr>
        <w:pStyle w:val="Num-DocParagraph"/>
        <w:tabs>
          <w:tab w:val="left" w:pos="5068"/>
        </w:tabs>
        <w:rPr>
          <w:color w:val="000000" w:themeColor="text1"/>
          <w:sz w:val="21"/>
          <w:szCs w:val="21"/>
        </w:rPr>
      </w:pPr>
      <w:r w:rsidRPr="00F421ED">
        <w:rPr>
          <w:color w:val="000000" w:themeColor="text1"/>
          <w:sz w:val="21"/>
          <w:szCs w:val="21"/>
        </w:rPr>
        <w:fldChar w:fldCharType="begin"/>
      </w:r>
      <w:r w:rsidRPr="00F421ED">
        <w:rPr>
          <w:color w:val="000000" w:themeColor="text1"/>
          <w:sz w:val="21"/>
          <w:szCs w:val="21"/>
        </w:rPr>
        <w:instrText xml:space="preserve"> MACROBUTTON NUMBERING </w:instrText>
      </w:r>
      <w:r w:rsidRPr="00F421ED">
        <w:rPr>
          <w:color w:val="000000" w:themeColor="text1"/>
          <w:sz w:val="21"/>
          <w:szCs w:val="21"/>
        </w:rPr>
        <w:fldChar w:fldCharType="begin"/>
      </w:r>
      <w:r w:rsidRPr="00F421ED">
        <w:rPr>
          <w:color w:val="000000" w:themeColor="text1"/>
          <w:sz w:val="21"/>
          <w:szCs w:val="21"/>
        </w:rPr>
        <w:instrText xml:space="preserve"> SEQ  dpara</w:instrText>
      </w:r>
      <w:r w:rsidRPr="00F421ED">
        <w:rPr>
          <w:color w:val="000000" w:themeColor="text1"/>
          <w:sz w:val="21"/>
          <w:szCs w:val="21"/>
        </w:rPr>
        <w:fldChar w:fldCharType="separate"/>
      </w:r>
      <w:r w:rsidR="0042183E">
        <w:rPr>
          <w:noProof/>
          <w:color w:val="000000" w:themeColor="text1"/>
          <w:sz w:val="21"/>
          <w:szCs w:val="21"/>
        </w:rPr>
        <w:instrText>72</w:instrText>
      </w:r>
      <w:r w:rsidRPr="00F421ED">
        <w:rPr>
          <w:color w:val="000000" w:themeColor="text1"/>
          <w:sz w:val="21"/>
          <w:szCs w:val="21"/>
        </w:rPr>
        <w:fldChar w:fldCharType="end"/>
      </w:r>
      <w:r w:rsidRPr="00F421ED">
        <w:rPr>
          <w:color w:val="000000" w:themeColor="text1"/>
          <w:sz w:val="21"/>
          <w:szCs w:val="21"/>
        </w:rPr>
        <w:instrText>.</w:instrText>
      </w:r>
      <w:r w:rsidRPr="00F421ED">
        <w:rPr>
          <w:color w:val="000000" w:themeColor="text1"/>
          <w:sz w:val="21"/>
          <w:szCs w:val="21"/>
        </w:rPr>
        <w:tab/>
      </w:r>
      <w:r w:rsidRPr="00F421ED">
        <w:rPr>
          <w:color w:val="000000" w:themeColor="text1"/>
          <w:sz w:val="21"/>
          <w:szCs w:val="21"/>
        </w:rPr>
        <w:fldChar w:fldCharType="end"/>
      </w:r>
      <w:r w:rsidR="00E97454" w:rsidRPr="00F421ED">
        <w:rPr>
          <w:color w:val="000000" w:themeColor="text1"/>
          <w:sz w:val="21"/>
          <w:szCs w:val="21"/>
        </w:rPr>
        <w:t xml:space="preserve">The most important indicator </w:t>
      </w:r>
      <w:r w:rsidRPr="00F421ED">
        <w:rPr>
          <w:color w:val="000000" w:themeColor="text1"/>
          <w:sz w:val="21"/>
          <w:szCs w:val="21"/>
        </w:rPr>
        <w:t>to show the level of support provided to fishers at</w:t>
      </w:r>
      <w:r w:rsidR="00E97454" w:rsidRPr="00F421ED">
        <w:rPr>
          <w:color w:val="000000" w:themeColor="text1"/>
          <w:sz w:val="21"/>
          <w:szCs w:val="21"/>
        </w:rPr>
        <w:t xml:space="preserve"> the national (aggregate) level is the</w:t>
      </w:r>
      <w:r w:rsidRPr="00F421ED">
        <w:rPr>
          <w:color w:val="000000" w:themeColor="text1"/>
          <w:sz w:val="21"/>
          <w:szCs w:val="21"/>
        </w:rPr>
        <w:t xml:space="preserve"> %TIF. </w:t>
      </w:r>
      <w:r w:rsidR="00E97454" w:rsidRPr="00F421ED">
        <w:rPr>
          <w:color w:val="000000" w:themeColor="text1"/>
          <w:sz w:val="21"/>
          <w:szCs w:val="21"/>
        </w:rPr>
        <w:t>This</w:t>
      </w:r>
      <w:r w:rsidRPr="00F421ED">
        <w:rPr>
          <w:color w:val="000000" w:themeColor="text1"/>
          <w:sz w:val="21"/>
          <w:szCs w:val="21"/>
        </w:rPr>
        <w:t xml:space="preserve"> show</w:t>
      </w:r>
      <w:r w:rsidR="00E97454" w:rsidRPr="00F421ED">
        <w:rPr>
          <w:color w:val="000000" w:themeColor="text1"/>
          <w:sz w:val="21"/>
          <w:szCs w:val="21"/>
        </w:rPr>
        <w:t>s</w:t>
      </w:r>
      <w:r w:rsidRPr="00F421ED">
        <w:rPr>
          <w:color w:val="000000" w:themeColor="text1"/>
          <w:sz w:val="21"/>
          <w:szCs w:val="21"/>
        </w:rPr>
        <w:t>, in aggregate, the importance of support relative to revenue. A %TIF of 20% means that the estimated total value of transfers to individual fishers represents 20% of total gross receipts</w:t>
      </w:r>
      <w:r w:rsidRPr="00F421ED">
        <w:rPr>
          <w:rStyle w:val="FootnoteReference"/>
          <w:color w:val="000000" w:themeColor="text1"/>
          <w:sz w:val="21"/>
          <w:szCs w:val="21"/>
        </w:rPr>
        <w:footnoteReference w:id="3"/>
      </w:r>
      <w:r w:rsidRPr="00F421ED">
        <w:rPr>
          <w:color w:val="000000" w:themeColor="text1"/>
          <w:sz w:val="21"/>
          <w:szCs w:val="21"/>
        </w:rPr>
        <w:t>, or, alternatively, that 20% of gross receipts come from transfers due to policy measures supporting fishers. A %TIF of 0% indicates that the estimated aggregate value of Transfers to individual fishers is zero. A %TIF cannot be higher than 100%, at which level all receipts come from policy measures, with no returns from the market.</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7FFFF"/>
        <w:tblLayout w:type="fixed"/>
        <w:tblLook w:val="0000" w:firstRow="0" w:lastRow="0" w:firstColumn="0" w:lastColumn="0" w:noHBand="0" w:noVBand="0"/>
      </w:tblPr>
      <w:tblGrid>
        <w:gridCol w:w="9287"/>
      </w:tblGrid>
      <w:tr w:rsidR="00947D13" w:rsidRPr="00F421ED" w:rsidTr="00A22DB4">
        <w:tc>
          <w:tcPr>
            <w:tcW w:w="9287" w:type="dxa"/>
            <w:shd w:val="clear" w:color="auto" w:fill="F7FFFF"/>
          </w:tcPr>
          <w:p w:rsidR="00947D13" w:rsidRPr="00F421ED" w:rsidRDefault="00947D13" w:rsidP="00A22DB4">
            <w:pPr>
              <w:pStyle w:val="TextBoxHeading"/>
              <w:pBdr>
                <w:top w:val="none" w:sz="0" w:space="0" w:color="auto"/>
                <w:left w:val="none" w:sz="0" w:space="0" w:color="auto"/>
                <w:bottom w:val="none" w:sz="0" w:space="0" w:color="auto"/>
                <w:right w:val="none" w:sz="0" w:space="0" w:color="auto"/>
              </w:pBdr>
              <w:shd w:val="clear" w:color="auto" w:fill="F7FFFF"/>
              <w:tabs>
                <w:tab w:val="left" w:pos="5068"/>
              </w:tabs>
              <w:spacing w:before="120" w:after="120"/>
              <w:rPr>
                <w:color w:val="000000" w:themeColor="text1"/>
                <w:sz w:val="17"/>
                <w:szCs w:val="17"/>
              </w:rPr>
            </w:pPr>
            <w:bookmarkStart w:id="286" w:name="_Toc203897875"/>
            <w:bookmarkStart w:id="287" w:name="_Toc203898334"/>
            <w:bookmarkStart w:id="288" w:name="_Toc272412010"/>
            <w:bookmarkStart w:id="289" w:name="_Toc273007945"/>
            <w:bookmarkStart w:id="290" w:name="_Toc273008082"/>
            <w:bookmarkStart w:id="291" w:name="_Toc445908271"/>
            <w:r w:rsidRPr="00F421ED">
              <w:rPr>
                <w:color w:val="000000" w:themeColor="text1"/>
                <w:sz w:val="17"/>
                <w:szCs w:val="17"/>
              </w:rPr>
              <w:t xml:space="preserve">Box </w:t>
            </w:r>
            <w:r w:rsidR="007B4CE8" w:rsidRPr="00F421ED">
              <w:rPr>
                <w:color w:val="000000" w:themeColor="text1"/>
                <w:sz w:val="17"/>
                <w:szCs w:val="17"/>
              </w:rPr>
              <w:t>6</w:t>
            </w:r>
            <w:r w:rsidRPr="00F421ED">
              <w:rPr>
                <w:color w:val="000000" w:themeColor="text1"/>
                <w:sz w:val="17"/>
                <w:szCs w:val="17"/>
              </w:rPr>
              <w:t>.</w:t>
            </w:r>
            <w:r w:rsidR="007B4CE8" w:rsidRPr="00F421ED">
              <w:rPr>
                <w:color w:val="000000" w:themeColor="text1"/>
                <w:sz w:val="17"/>
                <w:szCs w:val="17"/>
              </w:rPr>
              <w:t>2</w:t>
            </w:r>
            <w:r w:rsidRPr="00F421ED">
              <w:rPr>
                <w:color w:val="000000" w:themeColor="text1"/>
                <w:sz w:val="17"/>
                <w:szCs w:val="17"/>
              </w:rPr>
              <w:t xml:space="preserve">. Use of %TIF in evaluating annual changes in support </w:t>
            </w:r>
            <w:r w:rsidRPr="00F421ED">
              <w:rPr>
                <w:color w:val="000000" w:themeColor="text1"/>
                <w:sz w:val="17"/>
                <w:szCs w:val="17"/>
              </w:rPr>
              <w:br/>
              <w:t>for the OECD area as a whole</w:t>
            </w:r>
            <w:bookmarkEnd w:id="286"/>
            <w:bookmarkEnd w:id="287"/>
            <w:bookmarkEnd w:id="288"/>
            <w:bookmarkEnd w:id="289"/>
            <w:bookmarkEnd w:id="290"/>
            <w:bookmarkEnd w:id="291"/>
          </w:p>
          <w:p w:rsidR="00947D13" w:rsidRPr="00F421ED" w:rsidRDefault="00947D13" w:rsidP="00A22DB4">
            <w:pPr>
              <w:pStyle w:val="BoxBodyText"/>
              <w:tabs>
                <w:tab w:val="left" w:pos="5068"/>
              </w:tabs>
              <w:spacing w:after="120"/>
              <w:rPr>
                <w:color w:val="000000" w:themeColor="text1"/>
                <w:sz w:val="17"/>
                <w:szCs w:val="17"/>
                <w:lang w:val="en-GB"/>
              </w:rPr>
            </w:pPr>
            <w:r w:rsidRPr="00F421ED">
              <w:rPr>
                <w:color w:val="000000" w:themeColor="text1"/>
                <w:sz w:val="17"/>
                <w:szCs w:val="17"/>
                <w:lang w:val="en-GB"/>
              </w:rPr>
              <w:t>The TIF, the total monetary value for the estimated policy transfers to fishers, is expressed in the local currency of each country. It must be converted into a common currency to allow aggregation into the total for the OECD area as a whole. Consequently, the year-on-year variation in the total level of transfers denominated in a single currency will result from both changes in the level of transfers measured in each national currency and exchange rate movements.</w:t>
            </w:r>
          </w:p>
          <w:p w:rsidR="00947D13" w:rsidRPr="00F421ED" w:rsidRDefault="00947D13" w:rsidP="00A22DB4">
            <w:pPr>
              <w:pStyle w:val="BoxBodyText"/>
              <w:tabs>
                <w:tab w:val="left" w:pos="5068"/>
              </w:tabs>
              <w:spacing w:after="120"/>
              <w:rPr>
                <w:color w:val="000000" w:themeColor="text1"/>
                <w:sz w:val="17"/>
                <w:szCs w:val="17"/>
                <w:lang w:val="en-GB"/>
              </w:rPr>
            </w:pPr>
            <w:r w:rsidRPr="00F421ED">
              <w:rPr>
                <w:color w:val="000000" w:themeColor="text1"/>
                <w:sz w:val="17"/>
                <w:szCs w:val="17"/>
                <w:lang w:val="en-GB"/>
              </w:rPr>
              <w:t xml:space="preserve">The most appropriate measure to compare changes in the level of support in the OECD as whole is the %TIF, which expresses the value of policy transfers as a share of gross revenue. The latter represent the market value of landings to which are added the value of transfers. </w:t>
            </w:r>
          </w:p>
          <w:p w:rsidR="00947D13" w:rsidRPr="00F421ED" w:rsidRDefault="00947D13" w:rsidP="00A22DB4">
            <w:pPr>
              <w:pStyle w:val="BoxBodyText"/>
              <w:tabs>
                <w:tab w:val="left" w:pos="5068"/>
              </w:tabs>
              <w:spacing w:after="120"/>
              <w:rPr>
                <w:color w:val="000000" w:themeColor="text1"/>
                <w:sz w:val="17"/>
                <w:szCs w:val="17"/>
                <w:lang w:val="en-GB"/>
              </w:rPr>
            </w:pPr>
            <w:r w:rsidRPr="00F421ED">
              <w:rPr>
                <w:color w:val="000000" w:themeColor="text1"/>
                <w:sz w:val="17"/>
                <w:szCs w:val="17"/>
                <w:lang w:val="en-GB"/>
              </w:rPr>
              <w:t xml:space="preserve">The %TIF solves the problem of exchange rate choice because the same exchange rates are used to convert both the denominator and the numerator into a single currency. Consequently, the %TIF is the same regardless of the currency. </w:t>
            </w:r>
          </w:p>
          <w:p w:rsidR="00947D13" w:rsidRPr="00F421ED" w:rsidRDefault="00947D13" w:rsidP="00A22DB4">
            <w:pPr>
              <w:pStyle w:val="BoxBodyText"/>
              <w:tabs>
                <w:tab w:val="left" w:pos="5068"/>
              </w:tabs>
              <w:spacing w:after="120"/>
              <w:rPr>
                <w:color w:val="000000" w:themeColor="text1"/>
                <w:sz w:val="17"/>
                <w:szCs w:val="17"/>
                <w:lang w:val="en-GB"/>
              </w:rPr>
            </w:pPr>
            <w:r w:rsidRPr="00F421ED">
              <w:rPr>
                <w:color w:val="000000" w:themeColor="text1"/>
                <w:sz w:val="17"/>
                <w:szCs w:val="17"/>
                <w:lang w:val="en-GB"/>
              </w:rPr>
              <w:t>As a relative measure, the %TIF also provides a sense of the importance of policy-induced transfers in the sector and is also appropriate for comparisons among OECD countries.</w:t>
            </w:r>
          </w:p>
          <w:p w:rsidR="00947D13" w:rsidRPr="00F421ED" w:rsidRDefault="00947D13" w:rsidP="00A22DB4">
            <w:pPr>
              <w:pStyle w:val="BoxBodyText"/>
              <w:tabs>
                <w:tab w:val="left" w:pos="5068"/>
              </w:tabs>
              <w:spacing w:after="120"/>
              <w:rPr>
                <w:color w:val="000000" w:themeColor="text1"/>
                <w:sz w:val="17"/>
                <w:szCs w:val="17"/>
                <w:lang w:val="en-GB"/>
              </w:rPr>
            </w:pPr>
            <w:r w:rsidRPr="00F421ED">
              <w:rPr>
                <w:color w:val="000000" w:themeColor="text1"/>
                <w:sz w:val="17"/>
                <w:szCs w:val="17"/>
                <w:lang w:val="en-GB"/>
              </w:rPr>
              <w:t xml:space="preserve">The %TIF is a relative indicator and its value also depends on changes in the value of landings. In this respect, a reduction in support may not always lead to a smaller %TIF if the fall in the value of landings is greater than the reduction in support. A fall in value (and volume) of landings may have various causes, and may also theoretically reflect policy developments. </w:t>
            </w:r>
          </w:p>
          <w:p w:rsidR="00947D13" w:rsidRPr="00F421ED" w:rsidRDefault="00947D13" w:rsidP="00A22DB4">
            <w:pPr>
              <w:pStyle w:val="BoxBodyText"/>
              <w:tabs>
                <w:tab w:val="left" w:pos="5068"/>
              </w:tabs>
              <w:spacing w:after="120"/>
              <w:rPr>
                <w:color w:val="000000" w:themeColor="text1"/>
                <w:lang w:val="en-GB"/>
              </w:rPr>
            </w:pPr>
            <w:r w:rsidRPr="00F421ED">
              <w:rPr>
                <w:color w:val="000000" w:themeColor="text1"/>
                <w:sz w:val="17"/>
                <w:szCs w:val="17"/>
                <w:lang w:val="en-GB"/>
              </w:rPr>
              <w:lastRenderedPageBreak/>
              <w:t>The changes in the %TIF tend to be sensitive to the initial level of the indicator, i.e. at high levels of %TIF a given reduction in the absolute level of support will lead to a smaller change in the %TIF, compared to when the initial level of the %TIF is low.</w:t>
            </w:r>
          </w:p>
        </w:tc>
      </w:tr>
    </w:tbl>
    <w:p w:rsidR="00947D13" w:rsidRPr="00F421ED" w:rsidRDefault="00947D13" w:rsidP="00947D13">
      <w:pPr>
        <w:pStyle w:val="BodyText"/>
        <w:tabs>
          <w:tab w:val="left" w:pos="5068"/>
        </w:tabs>
        <w:rPr>
          <w:color w:val="000000" w:themeColor="text1"/>
        </w:rPr>
      </w:pPr>
    </w:p>
    <w:p w:rsidR="00947D13" w:rsidRPr="00F421ED" w:rsidRDefault="007B4CE8" w:rsidP="00947D13">
      <w:pPr>
        <w:pStyle w:val="Heading3"/>
        <w:rPr>
          <w:color w:val="000000" w:themeColor="text1"/>
        </w:rPr>
      </w:pPr>
      <w:bookmarkStart w:id="292" w:name="_Toc445973537"/>
      <w:bookmarkStart w:id="293" w:name="_Toc163533511"/>
      <w:r w:rsidRPr="00F421ED">
        <w:rPr>
          <w:color w:val="000000" w:themeColor="text1"/>
        </w:rPr>
        <w:t>6</w:t>
      </w:r>
      <w:r w:rsidR="00947D13" w:rsidRPr="00F421ED">
        <w:rPr>
          <w:color w:val="000000" w:themeColor="text1"/>
        </w:rPr>
        <w:t>.1.2.</w:t>
      </w:r>
      <w:r w:rsidR="00947D13" w:rsidRPr="00F421ED">
        <w:rPr>
          <w:color w:val="000000" w:themeColor="text1"/>
        </w:rPr>
        <w:tab/>
        <w:t>Showing changes in support over time</w:t>
      </w:r>
      <w:bookmarkEnd w:id="292"/>
    </w:p>
    <w:p w:rsidR="00947D13" w:rsidRPr="00F421ED" w:rsidRDefault="00947D13" w:rsidP="00947D13">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73</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Pr="00F421ED">
        <w:rPr>
          <w:color w:val="000000" w:themeColor="text1"/>
        </w:rPr>
        <w:t>Two methods can be used to show changes in both the level and composition of support over time. The first method is to simply show an annual series of indicators over an extended time period. Viewing developments over the long term allows both general trends and year-to-year fluctuations to be observed.</w:t>
      </w:r>
    </w:p>
    <w:p w:rsidR="00947D13" w:rsidRPr="00F421ED" w:rsidRDefault="00947D13" w:rsidP="00947D13">
      <w:pPr>
        <w:pStyle w:val="Num-DocParagraph"/>
        <w:rPr>
          <w:color w:val="000000" w:themeColor="text1"/>
        </w:rPr>
      </w:pPr>
      <w:r w:rsidRPr="00F421ED">
        <w:rPr>
          <w:color w:val="000000" w:themeColor="text1"/>
        </w:rPr>
        <w:fldChar w:fldCharType="begin"/>
      </w:r>
      <w:r w:rsidRPr="00F421ED">
        <w:rPr>
          <w:color w:val="000000" w:themeColor="text1"/>
        </w:rPr>
        <w:instrText xml:space="preserve"> MACROBUTTON NUMBERING </w:instrText>
      </w:r>
      <w:r w:rsidRPr="00F421ED">
        <w:rPr>
          <w:color w:val="000000" w:themeColor="text1"/>
        </w:rPr>
        <w:fldChar w:fldCharType="begin"/>
      </w:r>
      <w:r w:rsidRPr="00F421ED">
        <w:rPr>
          <w:color w:val="000000" w:themeColor="text1"/>
        </w:rPr>
        <w:instrText xml:space="preserve"> SEQ  dpara</w:instrText>
      </w:r>
      <w:r w:rsidRPr="00F421ED">
        <w:rPr>
          <w:color w:val="000000" w:themeColor="text1"/>
        </w:rPr>
        <w:fldChar w:fldCharType="separate"/>
      </w:r>
      <w:r w:rsidR="0042183E">
        <w:rPr>
          <w:noProof/>
          <w:color w:val="000000" w:themeColor="text1"/>
        </w:rPr>
        <w:instrText>74</w:instrText>
      </w:r>
      <w:r w:rsidRPr="00F421ED">
        <w:rPr>
          <w:color w:val="000000" w:themeColor="text1"/>
        </w:rPr>
        <w:fldChar w:fldCharType="end"/>
      </w:r>
      <w:r w:rsidRPr="00F421ED">
        <w:rPr>
          <w:color w:val="000000" w:themeColor="text1"/>
        </w:rPr>
        <w:instrText>.</w:instrText>
      </w:r>
      <w:r w:rsidRPr="00F421ED">
        <w:rPr>
          <w:color w:val="000000" w:themeColor="text1"/>
        </w:rPr>
        <w:tab/>
      </w:r>
      <w:r w:rsidRPr="00F421ED">
        <w:rPr>
          <w:color w:val="000000" w:themeColor="text1"/>
        </w:rPr>
        <w:fldChar w:fldCharType="end"/>
      </w:r>
      <w:r w:rsidRPr="00F421ED">
        <w:rPr>
          <w:color w:val="000000" w:themeColor="text1"/>
        </w:rPr>
        <w:t xml:space="preserve">The second method involves comparing three-year averages and the selection of an appropriate base period from which to reference changes. A three-year average reduces some of the year-to-year variability in support levels that arise due to fluctuations in prices, exchange rates, etc. </w:t>
      </w:r>
    </w:p>
    <w:p w:rsidR="00947D13" w:rsidRPr="00F421ED" w:rsidRDefault="007B4CE8" w:rsidP="00947D13">
      <w:pPr>
        <w:pStyle w:val="Heading2"/>
        <w:tabs>
          <w:tab w:val="left" w:pos="5068"/>
        </w:tabs>
        <w:rPr>
          <w:color w:val="000000" w:themeColor="text1"/>
          <w:sz w:val="21"/>
          <w:szCs w:val="21"/>
        </w:rPr>
      </w:pPr>
      <w:bookmarkStart w:id="294" w:name="_Toc160608186"/>
      <w:bookmarkStart w:id="295" w:name="_Toc160608251"/>
      <w:bookmarkStart w:id="296" w:name="_Toc160608439"/>
      <w:bookmarkStart w:id="297" w:name="_Toc160609011"/>
      <w:bookmarkStart w:id="298" w:name="_Toc160609144"/>
      <w:bookmarkStart w:id="299" w:name="_Toc160609277"/>
      <w:bookmarkStart w:id="300" w:name="_Toc163533514"/>
      <w:bookmarkStart w:id="301" w:name="_Toc172718610"/>
      <w:bookmarkStart w:id="302" w:name="_Toc176615877"/>
      <w:bookmarkStart w:id="303" w:name="_Toc176630067"/>
      <w:bookmarkStart w:id="304" w:name="_Toc203897837"/>
      <w:bookmarkStart w:id="305" w:name="_Toc203898511"/>
      <w:bookmarkStart w:id="306" w:name="_Toc272931617"/>
      <w:bookmarkStart w:id="307" w:name="_Toc273007919"/>
      <w:bookmarkStart w:id="308" w:name="_Toc361730757"/>
      <w:bookmarkStart w:id="309" w:name="_Toc445973538"/>
      <w:bookmarkEnd w:id="293"/>
      <w:r w:rsidRPr="00F421ED">
        <w:rPr>
          <w:color w:val="000000" w:themeColor="text1"/>
          <w:sz w:val="21"/>
          <w:szCs w:val="21"/>
        </w:rPr>
        <w:t>6</w:t>
      </w:r>
      <w:r w:rsidR="00947D13" w:rsidRPr="00F421ED">
        <w:rPr>
          <w:color w:val="000000" w:themeColor="text1"/>
          <w:sz w:val="21"/>
          <w:szCs w:val="21"/>
        </w:rPr>
        <w:t>.2.</w:t>
      </w:r>
      <w:r w:rsidR="00947D13" w:rsidRPr="00F421ED">
        <w:rPr>
          <w:color w:val="000000" w:themeColor="text1"/>
          <w:sz w:val="21"/>
          <w:szCs w:val="21"/>
        </w:rPr>
        <w:tab/>
        <w:t>Interpreting the composition of support</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r w:rsidR="00947D13" w:rsidRPr="00F421ED">
        <w:rPr>
          <w:color w:val="000000" w:themeColor="text1"/>
          <w:sz w:val="21"/>
          <w:szCs w:val="21"/>
        </w:rPr>
        <w:t xml:space="preserve"> </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shd w:val="clear" w:color="auto" w:fill="F7FFFF"/>
        <w:tblLook w:val="01E0" w:firstRow="1" w:lastRow="1" w:firstColumn="1" w:lastColumn="1" w:noHBand="0" w:noVBand="0"/>
      </w:tblPr>
      <w:tblGrid>
        <w:gridCol w:w="9684"/>
      </w:tblGrid>
      <w:tr w:rsidR="00947D13" w:rsidRPr="00F421ED" w:rsidTr="00A22DB4">
        <w:tc>
          <w:tcPr>
            <w:tcW w:w="9684" w:type="dxa"/>
            <w:shd w:val="clear" w:color="auto" w:fill="F7FFFF"/>
          </w:tcPr>
          <w:p w:rsidR="00947D13" w:rsidRPr="00F421ED" w:rsidRDefault="00947D13" w:rsidP="00A22DB4">
            <w:pPr>
              <w:pStyle w:val="ListBullet"/>
              <w:tabs>
                <w:tab w:val="clear" w:pos="850"/>
                <w:tab w:val="num" w:pos="550"/>
                <w:tab w:val="num" w:pos="975"/>
                <w:tab w:val="left" w:pos="5068"/>
              </w:tabs>
              <w:spacing w:after="120"/>
              <w:ind w:left="550" w:hanging="550"/>
              <w:rPr>
                <w:rFonts w:ascii="Arial" w:hAnsi="Arial" w:cs="Arial"/>
                <w:color w:val="000000" w:themeColor="text1"/>
                <w:sz w:val="17"/>
                <w:szCs w:val="17"/>
              </w:rPr>
            </w:pPr>
            <w:r w:rsidRPr="00F421ED">
              <w:rPr>
                <w:rFonts w:ascii="Arial" w:hAnsi="Arial" w:cs="Arial"/>
                <w:color w:val="000000" w:themeColor="text1"/>
                <w:sz w:val="17"/>
                <w:szCs w:val="17"/>
              </w:rPr>
              <w:t xml:space="preserve">The composition of support can be shown in terms of FSE categories and sub-categories and labels, which focus on the implementation criteria of the policies. </w:t>
            </w:r>
          </w:p>
          <w:p w:rsidR="00947D13" w:rsidRPr="00F421ED" w:rsidRDefault="00947D13" w:rsidP="00A22DB4">
            <w:pPr>
              <w:pStyle w:val="ListBullet"/>
              <w:tabs>
                <w:tab w:val="clear" w:pos="850"/>
                <w:tab w:val="num" w:pos="550"/>
                <w:tab w:val="num" w:pos="975"/>
                <w:tab w:val="left" w:pos="5068"/>
              </w:tabs>
              <w:spacing w:after="120"/>
              <w:ind w:left="550" w:hanging="550"/>
              <w:rPr>
                <w:rFonts w:ascii="Arial" w:hAnsi="Arial" w:cs="Arial"/>
                <w:color w:val="000000" w:themeColor="text1"/>
                <w:sz w:val="17"/>
                <w:szCs w:val="17"/>
              </w:rPr>
            </w:pPr>
            <w:r w:rsidRPr="00F421ED">
              <w:rPr>
                <w:rFonts w:ascii="Arial" w:hAnsi="Arial" w:cs="Arial"/>
                <w:color w:val="000000" w:themeColor="text1"/>
                <w:sz w:val="17"/>
                <w:szCs w:val="17"/>
              </w:rPr>
              <w:t>The composition of support to general services (GSSE) can be shown in terms of broad policy areas.</w:t>
            </w:r>
          </w:p>
        </w:tc>
      </w:tr>
    </w:tbl>
    <w:p w:rsidR="00947D13" w:rsidRPr="00F421ED" w:rsidRDefault="007B4CE8" w:rsidP="00947D13">
      <w:pPr>
        <w:pStyle w:val="Heading3"/>
        <w:tabs>
          <w:tab w:val="left" w:pos="5068"/>
        </w:tabs>
        <w:rPr>
          <w:color w:val="000000" w:themeColor="text1"/>
          <w:sz w:val="21"/>
          <w:szCs w:val="21"/>
        </w:rPr>
      </w:pPr>
      <w:bookmarkStart w:id="310" w:name="_Toc172718612"/>
      <w:bookmarkStart w:id="311" w:name="_Toc176615879"/>
      <w:bookmarkStart w:id="312" w:name="_Toc176630069"/>
      <w:bookmarkStart w:id="313" w:name="_Toc178592049"/>
      <w:bookmarkStart w:id="314" w:name="_Toc163533517"/>
      <w:bookmarkStart w:id="315" w:name="_Toc203897839"/>
      <w:bookmarkStart w:id="316" w:name="_Toc203898513"/>
      <w:bookmarkStart w:id="317" w:name="_Toc272931619"/>
      <w:bookmarkStart w:id="318" w:name="_Toc273007921"/>
      <w:bookmarkStart w:id="319" w:name="_Toc361730759"/>
      <w:bookmarkStart w:id="320" w:name="_Toc445973539"/>
      <w:r w:rsidRPr="00F421ED">
        <w:rPr>
          <w:color w:val="000000" w:themeColor="text1"/>
          <w:sz w:val="21"/>
          <w:szCs w:val="21"/>
        </w:rPr>
        <w:t>6</w:t>
      </w:r>
      <w:r w:rsidR="00947D13" w:rsidRPr="00F421ED">
        <w:rPr>
          <w:color w:val="000000" w:themeColor="text1"/>
          <w:sz w:val="21"/>
          <w:szCs w:val="21"/>
        </w:rPr>
        <w:t>.2.1.</w:t>
      </w:r>
      <w:r w:rsidR="00947D13" w:rsidRPr="00F421ED">
        <w:rPr>
          <w:color w:val="000000" w:themeColor="text1"/>
          <w:sz w:val="21"/>
          <w:szCs w:val="21"/>
        </w:rPr>
        <w:tab/>
        <w:t>Composition of producer support –categories</w:t>
      </w:r>
      <w:bookmarkEnd w:id="310"/>
      <w:bookmarkEnd w:id="311"/>
      <w:bookmarkEnd w:id="312"/>
      <w:bookmarkEnd w:id="313"/>
      <w:bookmarkEnd w:id="314"/>
      <w:bookmarkEnd w:id="315"/>
      <w:bookmarkEnd w:id="316"/>
      <w:bookmarkEnd w:id="317"/>
      <w:bookmarkEnd w:id="318"/>
      <w:bookmarkEnd w:id="319"/>
      <w:bookmarkEnd w:id="320"/>
    </w:p>
    <w:p w:rsidR="00947D13" w:rsidRPr="00F421ED" w:rsidRDefault="00947D13" w:rsidP="00947D13">
      <w:pPr>
        <w:pStyle w:val="Num-DocParagraph"/>
        <w:tabs>
          <w:tab w:val="left" w:pos="5068"/>
        </w:tabs>
        <w:rPr>
          <w:color w:val="000000" w:themeColor="text1"/>
        </w:rPr>
      </w:pPr>
      <w:r w:rsidRPr="00F421ED">
        <w:rPr>
          <w:color w:val="000000" w:themeColor="text1"/>
          <w:sz w:val="21"/>
          <w:szCs w:val="21"/>
        </w:rPr>
        <w:fldChar w:fldCharType="begin"/>
      </w:r>
      <w:r w:rsidRPr="00F421ED">
        <w:rPr>
          <w:color w:val="000000" w:themeColor="text1"/>
          <w:sz w:val="21"/>
          <w:szCs w:val="21"/>
        </w:rPr>
        <w:instrText xml:space="preserve"> MACROBUTTON NUMBERING </w:instrText>
      </w:r>
      <w:r w:rsidRPr="00F421ED">
        <w:rPr>
          <w:color w:val="000000" w:themeColor="text1"/>
          <w:sz w:val="21"/>
          <w:szCs w:val="21"/>
        </w:rPr>
        <w:fldChar w:fldCharType="begin"/>
      </w:r>
      <w:r w:rsidRPr="00F421ED">
        <w:rPr>
          <w:color w:val="000000" w:themeColor="text1"/>
          <w:sz w:val="21"/>
          <w:szCs w:val="21"/>
        </w:rPr>
        <w:instrText xml:space="preserve"> SEQ  dpara</w:instrText>
      </w:r>
      <w:r w:rsidRPr="00F421ED">
        <w:rPr>
          <w:color w:val="000000" w:themeColor="text1"/>
          <w:sz w:val="21"/>
          <w:szCs w:val="21"/>
        </w:rPr>
        <w:fldChar w:fldCharType="separate"/>
      </w:r>
      <w:r w:rsidR="0042183E">
        <w:rPr>
          <w:noProof/>
          <w:color w:val="000000" w:themeColor="text1"/>
          <w:sz w:val="21"/>
          <w:szCs w:val="21"/>
        </w:rPr>
        <w:instrText>75</w:instrText>
      </w:r>
      <w:r w:rsidRPr="00F421ED">
        <w:rPr>
          <w:color w:val="000000" w:themeColor="text1"/>
          <w:sz w:val="21"/>
          <w:szCs w:val="21"/>
        </w:rPr>
        <w:fldChar w:fldCharType="end"/>
      </w:r>
      <w:r w:rsidRPr="00F421ED">
        <w:rPr>
          <w:color w:val="000000" w:themeColor="text1"/>
          <w:sz w:val="21"/>
          <w:szCs w:val="21"/>
        </w:rPr>
        <w:instrText>.</w:instrText>
      </w:r>
      <w:r w:rsidRPr="00F421ED">
        <w:rPr>
          <w:color w:val="000000" w:themeColor="text1"/>
          <w:sz w:val="21"/>
          <w:szCs w:val="21"/>
        </w:rPr>
        <w:tab/>
      </w:r>
      <w:r w:rsidRPr="00F421ED">
        <w:rPr>
          <w:color w:val="000000" w:themeColor="text1"/>
          <w:sz w:val="21"/>
          <w:szCs w:val="21"/>
        </w:rPr>
        <w:fldChar w:fldCharType="end"/>
      </w:r>
      <w:r w:rsidRPr="00F421ED">
        <w:rPr>
          <w:color w:val="000000" w:themeColor="text1"/>
          <w:sz w:val="21"/>
          <w:szCs w:val="21"/>
        </w:rPr>
        <w:t xml:space="preserve">The composition of support is reflected in the FSE by the share of support that falls into each of the categories or sub-categories. Category values can be expressed as shares of the FSE, with the sum of the category shares equalling 100%. Alternatively, they can be expressed as shares of revenue, summing to the %TIF. This latter approach has the advantage of showing both the level and composition of support together. </w:t>
      </w:r>
    </w:p>
    <w:p w:rsidR="00947D13" w:rsidRPr="00F421ED" w:rsidRDefault="007B4CE8" w:rsidP="00947D13">
      <w:pPr>
        <w:pStyle w:val="Heading3"/>
        <w:tabs>
          <w:tab w:val="left" w:pos="5068"/>
        </w:tabs>
        <w:rPr>
          <w:color w:val="000000" w:themeColor="text1"/>
          <w:sz w:val="21"/>
          <w:szCs w:val="21"/>
        </w:rPr>
      </w:pPr>
      <w:bookmarkStart w:id="321" w:name="_Toc172718613"/>
      <w:bookmarkStart w:id="322" w:name="_Toc176615880"/>
      <w:bookmarkStart w:id="323" w:name="_Toc176630070"/>
      <w:bookmarkStart w:id="324" w:name="_Toc178592050"/>
      <w:bookmarkStart w:id="325" w:name="_Toc203897840"/>
      <w:bookmarkStart w:id="326" w:name="_Toc203898514"/>
      <w:bookmarkStart w:id="327" w:name="_Toc272931620"/>
      <w:bookmarkStart w:id="328" w:name="_Toc273007922"/>
      <w:bookmarkStart w:id="329" w:name="_Toc361730760"/>
      <w:bookmarkStart w:id="330" w:name="_Toc445973540"/>
      <w:r w:rsidRPr="00F421ED">
        <w:rPr>
          <w:color w:val="000000" w:themeColor="text1"/>
          <w:sz w:val="21"/>
          <w:szCs w:val="21"/>
        </w:rPr>
        <w:t>6</w:t>
      </w:r>
      <w:r w:rsidR="00947D13" w:rsidRPr="00F421ED">
        <w:rPr>
          <w:color w:val="000000" w:themeColor="text1"/>
          <w:sz w:val="21"/>
          <w:szCs w:val="21"/>
        </w:rPr>
        <w:t>.2.2</w:t>
      </w:r>
      <w:r w:rsidR="00947D13" w:rsidRPr="00F421ED">
        <w:rPr>
          <w:color w:val="000000" w:themeColor="text1"/>
          <w:sz w:val="21"/>
          <w:szCs w:val="21"/>
        </w:rPr>
        <w:tab/>
        <w:t>Composition of producer support – labels</w:t>
      </w:r>
      <w:bookmarkEnd w:id="321"/>
      <w:bookmarkEnd w:id="322"/>
      <w:bookmarkEnd w:id="323"/>
      <w:bookmarkEnd w:id="324"/>
      <w:bookmarkEnd w:id="325"/>
      <w:bookmarkEnd w:id="326"/>
      <w:bookmarkEnd w:id="327"/>
      <w:bookmarkEnd w:id="328"/>
      <w:bookmarkEnd w:id="329"/>
      <w:bookmarkEnd w:id="330"/>
      <w:r w:rsidR="00947D13" w:rsidRPr="00F421ED">
        <w:rPr>
          <w:color w:val="000000" w:themeColor="text1"/>
          <w:sz w:val="21"/>
          <w:szCs w:val="21"/>
        </w:rPr>
        <w:t xml:space="preserve"> </w:t>
      </w:r>
    </w:p>
    <w:p w:rsidR="00947D13" w:rsidRPr="00F421ED" w:rsidRDefault="00947D13" w:rsidP="00947D13">
      <w:pPr>
        <w:pStyle w:val="Num-DocParagraph"/>
        <w:tabs>
          <w:tab w:val="left" w:pos="5068"/>
        </w:tabs>
        <w:rPr>
          <w:color w:val="000000" w:themeColor="text1"/>
          <w:sz w:val="21"/>
          <w:szCs w:val="21"/>
          <w:lang w:eastAsia="en-US"/>
        </w:rPr>
      </w:pPr>
      <w:r w:rsidRPr="00F421ED">
        <w:rPr>
          <w:color w:val="000000" w:themeColor="text1"/>
          <w:sz w:val="21"/>
          <w:szCs w:val="21"/>
          <w:lang w:eastAsia="en-US"/>
        </w:rPr>
        <w:fldChar w:fldCharType="begin"/>
      </w:r>
      <w:r w:rsidRPr="00F421ED">
        <w:rPr>
          <w:color w:val="000000" w:themeColor="text1"/>
          <w:sz w:val="21"/>
          <w:szCs w:val="21"/>
          <w:lang w:eastAsia="en-US"/>
        </w:rPr>
        <w:instrText xml:space="preserve"> MACROBUTTON NUMBERING </w:instrText>
      </w:r>
      <w:r w:rsidRPr="00F421ED">
        <w:rPr>
          <w:color w:val="000000" w:themeColor="text1"/>
          <w:sz w:val="21"/>
          <w:szCs w:val="21"/>
          <w:lang w:eastAsia="en-US"/>
        </w:rPr>
        <w:fldChar w:fldCharType="begin"/>
      </w:r>
      <w:r w:rsidRPr="00F421ED">
        <w:rPr>
          <w:color w:val="000000" w:themeColor="text1"/>
          <w:sz w:val="21"/>
          <w:szCs w:val="21"/>
          <w:lang w:eastAsia="en-US"/>
        </w:rPr>
        <w:instrText xml:space="preserve"> SEQ  dpara</w:instrText>
      </w:r>
      <w:r w:rsidRPr="00F421ED">
        <w:rPr>
          <w:color w:val="000000" w:themeColor="text1"/>
          <w:sz w:val="21"/>
          <w:szCs w:val="21"/>
          <w:lang w:eastAsia="en-US"/>
        </w:rPr>
        <w:fldChar w:fldCharType="separate"/>
      </w:r>
      <w:r w:rsidR="0042183E">
        <w:rPr>
          <w:noProof/>
          <w:color w:val="000000" w:themeColor="text1"/>
          <w:sz w:val="21"/>
          <w:szCs w:val="21"/>
          <w:lang w:eastAsia="en-US"/>
        </w:rPr>
        <w:instrText>76</w:instrText>
      </w:r>
      <w:r w:rsidRPr="00F421ED">
        <w:rPr>
          <w:color w:val="000000" w:themeColor="text1"/>
          <w:sz w:val="21"/>
          <w:szCs w:val="21"/>
          <w:lang w:eastAsia="en-US"/>
        </w:rPr>
        <w:fldChar w:fldCharType="end"/>
      </w:r>
      <w:r w:rsidRPr="00F421ED">
        <w:rPr>
          <w:color w:val="000000" w:themeColor="text1"/>
          <w:sz w:val="21"/>
          <w:szCs w:val="21"/>
          <w:lang w:eastAsia="en-US"/>
        </w:rPr>
        <w:instrText>.</w:instrText>
      </w:r>
      <w:r w:rsidRPr="00F421ED">
        <w:rPr>
          <w:color w:val="000000" w:themeColor="text1"/>
          <w:sz w:val="21"/>
          <w:szCs w:val="21"/>
          <w:lang w:eastAsia="en-US"/>
        </w:rPr>
        <w:tab/>
      </w:r>
      <w:r w:rsidRPr="00F421ED">
        <w:rPr>
          <w:color w:val="000000" w:themeColor="text1"/>
          <w:sz w:val="21"/>
          <w:szCs w:val="21"/>
          <w:lang w:eastAsia="en-US"/>
        </w:rPr>
        <w:fldChar w:fldCharType="end"/>
      </w:r>
      <w:r w:rsidRPr="00F421ED">
        <w:rPr>
          <w:color w:val="000000" w:themeColor="text1"/>
          <w:sz w:val="21"/>
          <w:szCs w:val="21"/>
          <w:lang w:eastAsia="en-US"/>
        </w:rPr>
        <w:t>When policies are classified in the various categories, they may also be labelled according to certain characteristics relating to other conditions. Labels can be used to produce different aggregations of payments, emphasising a specific implementation criteria used in the policies applied, in addition to those reflected by the FSE categories:</w:t>
      </w:r>
    </w:p>
    <w:p w:rsidR="00947D13" w:rsidRDefault="00947D13" w:rsidP="00947D13">
      <w:pPr>
        <w:pStyle w:val="Num-DocParagraph"/>
        <w:tabs>
          <w:tab w:val="left" w:pos="5068"/>
        </w:tabs>
        <w:rPr>
          <w:color w:val="000000" w:themeColor="text1"/>
          <w:sz w:val="21"/>
          <w:szCs w:val="21"/>
          <w:lang w:eastAsia="en-US"/>
        </w:rPr>
      </w:pPr>
      <w:r w:rsidRPr="00F421ED">
        <w:rPr>
          <w:color w:val="000000" w:themeColor="text1"/>
          <w:sz w:val="21"/>
          <w:szCs w:val="21"/>
          <w:lang w:eastAsia="en-US"/>
        </w:rPr>
        <w:fldChar w:fldCharType="begin"/>
      </w:r>
      <w:r w:rsidRPr="00F421ED">
        <w:rPr>
          <w:color w:val="000000" w:themeColor="text1"/>
          <w:sz w:val="21"/>
          <w:szCs w:val="21"/>
          <w:lang w:eastAsia="en-US"/>
        </w:rPr>
        <w:instrText xml:space="preserve"> MACROBUTTON NUMBERING </w:instrText>
      </w:r>
      <w:r w:rsidRPr="00F421ED">
        <w:rPr>
          <w:color w:val="000000" w:themeColor="text1"/>
          <w:sz w:val="21"/>
          <w:szCs w:val="21"/>
          <w:lang w:eastAsia="en-US"/>
        </w:rPr>
        <w:fldChar w:fldCharType="begin"/>
      </w:r>
      <w:r w:rsidRPr="00F421ED">
        <w:rPr>
          <w:color w:val="000000" w:themeColor="text1"/>
          <w:sz w:val="21"/>
          <w:szCs w:val="21"/>
          <w:lang w:eastAsia="en-US"/>
        </w:rPr>
        <w:instrText xml:space="preserve"> SEQ  dpara</w:instrText>
      </w:r>
      <w:r w:rsidRPr="00F421ED">
        <w:rPr>
          <w:color w:val="000000" w:themeColor="text1"/>
          <w:sz w:val="21"/>
          <w:szCs w:val="21"/>
          <w:lang w:eastAsia="en-US"/>
        </w:rPr>
        <w:fldChar w:fldCharType="separate"/>
      </w:r>
      <w:r w:rsidR="0042183E">
        <w:rPr>
          <w:noProof/>
          <w:color w:val="000000" w:themeColor="text1"/>
          <w:sz w:val="21"/>
          <w:szCs w:val="21"/>
          <w:lang w:eastAsia="en-US"/>
        </w:rPr>
        <w:instrText>77</w:instrText>
      </w:r>
      <w:r w:rsidRPr="00F421ED">
        <w:rPr>
          <w:color w:val="000000" w:themeColor="text1"/>
          <w:sz w:val="21"/>
          <w:szCs w:val="21"/>
          <w:lang w:eastAsia="en-US"/>
        </w:rPr>
        <w:fldChar w:fldCharType="end"/>
      </w:r>
      <w:r w:rsidRPr="00F421ED">
        <w:rPr>
          <w:color w:val="000000" w:themeColor="text1"/>
          <w:sz w:val="21"/>
          <w:szCs w:val="21"/>
          <w:lang w:eastAsia="en-US"/>
        </w:rPr>
        <w:instrText>.</w:instrText>
      </w:r>
      <w:r w:rsidRPr="00F421ED">
        <w:rPr>
          <w:color w:val="000000" w:themeColor="text1"/>
          <w:sz w:val="21"/>
          <w:szCs w:val="21"/>
          <w:lang w:eastAsia="en-US"/>
        </w:rPr>
        <w:tab/>
      </w:r>
      <w:r w:rsidRPr="00F421ED">
        <w:rPr>
          <w:color w:val="000000" w:themeColor="text1"/>
          <w:sz w:val="21"/>
          <w:szCs w:val="21"/>
          <w:lang w:eastAsia="en-US"/>
        </w:rPr>
        <w:fldChar w:fldCharType="end"/>
      </w:r>
      <w:r w:rsidRPr="00F421ED">
        <w:rPr>
          <w:color w:val="000000" w:themeColor="text1"/>
          <w:sz w:val="21"/>
          <w:szCs w:val="21"/>
          <w:lang w:eastAsia="en-US"/>
        </w:rPr>
        <w:t xml:space="preserve">The composition of support classified by labels can again be presented in either graphical or tabular form. However, using labels to create tables or figures requires attention to the scope of the data shown with respect to the FSE. Labels create subsets of either the FSE itself or its categories, and when used in combination, create subsets of subsets. For example, a table showing the share of support with vessel size limits for the FSE as a whole, and another table showing the share of support requiring production can be visually similar, even though they would contain very different numbers with a different interpretation (Figure </w:t>
      </w:r>
      <w:r w:rsidR="00510D85" w:rsidRPr="00F421ED">
        <w:rPr>
          <w:color w:val="000000" w:themeColor="text1"/>
          <w:sz w:val="21"/>
          <w:szCs w:val="21"/>
          <w:lang w:eastAsia="en-US"/>
        </w:rPr>
        <w:t>6</w:t>
      </w:r>
      <w:r w:rsidRPr="00F421ED">
        <w:rPr>
          <w:color w:val="000000" w:themeColor="text1"/>
          <w:sz w:val="21"/>
          <w:szCs w:val="21"/>
          <w:lang w:eastAsia="en-US"/>
        </w:rPr>
        <w:t>.1)</w:t>
      </w:r>
    </w:p>
    <w:p w:rsidR="00DE0F0E" w:rsidRPr="00F421ED" w:rsidRDefault="00DE0F0E" w:rsidP="00DE0F0E">
      <w:pPr>
        <w:pStyle w:val="FigureTitle"/>
        <w:rPr>
          <w:lang w:eastAsia="en-US"/>
        </w:rPr>
      </w:pPr>
      <w:r>
        <w:rPr>
          <w:lang w:eastAsia="en-US"/>
        </w:rPr>
        <w:lastRenderedPageBreak/>
        <w:t>Figure 6.1. Graphical representation of labels</w:t>
      </w:r>
      <w:r>
        <w:rPr>
          <w:lang w:eastAsia="en-US"/>
        </w:rPr>
        <w:fldChar w:fldCharType="begin"/>
      </w:r>
      <w:r>
        <w:rPr>
          <w:lang w:eastAsia="en-US"/>
        </w:rPr>
        <w:instrText xml:space="preserve"> TC \f f \l 2 "</w:instrText>
      </w:r>
      <w:bookmarkStart w:id="331" w:name="_Toc445973718"/>
      <w:r>
        <w:rPr>
          <w:lang w:eastAsia="en-US"/>
        </w:rPr>
        <w:instrText>Figure 6.1. Graphical representation of labels</w:instrText>
      </w:r>
      <w:bookmarkEnd w:id="331"/>
      <w:r>
        <w:rPr>
          <w:lang w:eastAsia="en-US"/>
        </w:rPr>
        <w:instrText xml:space="preserve">"  </w:instrText>
      </w:r>
      <w:r>
        <w:rPr>
          <w:lang w:eastAsia="en-US"/>
        </w:rPr>
        <w:fldChar w:fldCharType="end"/>
      </w:r>
    </w:p>
    <w:p w:rsidR="00947D13" w:rsidRPr="00F421ED" w:rsidRDefault="00947D13" w:rsidP="00947D13">
      <w:pPr>
        <w:pStyle w:val="Graphic"/>
        <w:rPr>
          <w:color w:val="000000" w:themeColor="text1"/>
        </w:rPr>
      </w:pPr>
      <w:bookmarkStart w:id="332" w:name="_Toc172718616"/>
      <w:bookmarkStart w:id="333" w:name="_Toc176615883"/>
      <w:bookmarkStart w:id="334" w:name="_Toc176630073"/>
      <w:bookmarkStart w:id="335" w:name="_Toc178592053"/>
      <w:bookmarkStart w:id="336" w:name="_Toc203897842"/>
      <w:bookmarkStart w:id="337" w:name="_Toc203898516"/>
      <w:bookmarkStart w:id="338" w:name="_Toc272931622"/>
      <w:bookmarkStart w:id="339" w:name="_Toc273007924"/>
      <w:bookmarkStart w:id="340" w:name="_Toc361730762"/>
      <w:r w:rsidRPr="00F421ED">
        <w:rPr>
          <w:noProof/>
          <w:color w:val="000000" w:themeColor="text1"/>
          <w:lang w:eastAsia="en-GB"/>
        </w:rPr>
        <w:drawing>
          <wp:inline distT="0" distB="0" distL="0" distR="0" wp14:anchorId="1535065C" wp14:editId="2E41C26D">
            <wp:extent cx="5279390" cy="34677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9390" cy="3467735"/>
                    </a:xfrm>
                    <a:prstGeom prst="rect">
                      <a:avLst/>
                    </a:prstGeom>
                    <a:noFill/>
                    <a:ln>
                      <a:noFill/>
                    </a:ln>
                  </pic:spPr>
                </pic:pic>
              </a:graphicData>
            </a:graphic>
          </wp:inline>
        </w:drawing>
      </w:r>
    </w:p>
    <w:p w:rsidR="00947D13" w:rsidRPr="00F421ED" w:rsidRDefault="00947D13" w:rsidP="00947D13">
      <w:pPr>
        <w:pStyle w:val="BodyText"/>
        <w:rPr>
          <w:color w:val="000000" w:themeColor="text1"/>
        </w:rPr>
      </w:pPr>
    </w:p>
    <w:p w:rsidR="00947D13" w:rsidRPr="00F421ED" w:rsidRDefault="007B4CE8" w:rsidP="00947D13">
      <w:pPr>
        <w:pStyle w:val="Heading3"/>
        <w:tabs>
          <w:tab w:val="left" w:pos="5068"/>
        </w:tabs>
        <w:rPr>
          <w:color w:val="000000" w:themeColor="text1"/>
          <w:sz w:val="21"/>
          <w:szCs w:val="21"/>
          <w:lang w:eastAsia="en-US"/>
        </w:rPr>
      </w:pPr>
      <w:bookmarkStart w:id="341" w:name="_Toc445973541"/>
      <w:r w:rsidRPr="00F421ED">
        <w:rPr>
          <w:color w:val="000000" w:themeColor="text1"/>
          <w:sz w:val="21"/>
          <w:szCs w:val="21"/>
          <w:lang w:eastAsia="en-US"/>
        </w:rPr>
        <w:t>6</w:t>
      </w:r>
      <w:r w:rsidR="00947D13" w:rsidRPr="00F421ED">
        <w:rPr>
          <w:color w:val="000000" w:themeColor="text1"/>
          <w:sz w:val="21"/>
          <w:szCs w:val="21"/>
          <w:lang w:eastAsia="en-US"/>
        </w:rPr>
        <w:t>.2.3</w:t>
      </w:r>
      <w:r w:rsidR="00947D13" w:rsidRPr="00F421ED">
        <w:rPr>
          <w:color w:val="000000" w:themeColor="text1"/>
          <w:sz w:val="21"/>
          <w:szCs w:val="21"/>
          <w:lang w:eastAsia="en-US"/>
        </w:rPr>
        <w:tab/>
        <w:t>Composition of support to general services</w:t>
      </w:r>
      <w:bookmarkEnd w:id="332"/>
      <w:bookmarkEnd w:id="333"/>
      <w:bookmarkEnd w:id="334"/>
      <w:bookmarkEnd w:id="335"/>
      <w:bookmarkEnd w:id="336"/>
      <w:bookmarkEnd w:id="337"/>
      <w:bookmarkEnd w:id="338"/>
      <w:bookmarkEnd w:id="339"/>
      <w:bookmarkEnd w:id="340"/>
      <w:bookmarkEnd w:id="341"/>
    </w:p>
    <w:p w:rsidR="00DE0F0E" w:rsidRPr="00DE0F0E" w:rsidRDefault="00DE0F0E" w:rsidP="00DE0F0E">
      <w:pPr>
        <w:pStyle w:val="Num-DocParagraph"/>
        <w:tabs>
          <w:tab w:val="left" w:pos="5068"/>
        </w:tabs>
        <w:rPr>
          <w:color w:val="000000" w:themeColor="text1"/>
          <w:sz w:val="21"/>
          <w:szCs w:val="21"/>
        </w:rPr>
      </w:pPr>
      <w:r>
        <w:rPr>
          <w:color w:val="000000" w:themeColor="text1"/>
          <w:sz w:val="21"/>
          <w:szCs w:val="21"/>
        </w:rPr>
        <w:fldChar w:fldCharType="begin"/>
      </w:r>
      <w:r>
        <w:rPr>
          <w:color w:val="000000" w:themeColor="text1"/>
          <w:sz w:val="21"/>
          <w:szCs w:val="21"/>
        </w:rPr>
        <w:instrText xml:space="preserve"> MACROBUTTON NUMBERING </w:instrText>
      </w:r>
      <w:r>
        <w:rPr>
          <w:color w:val="000000" w:themeColor="text1"/>
          <w:sz w:val="21"/>
          <w:szCs w:val="21"/>
        </w:rPr>
        <w:fldChar w:fldCharType="begin"/>
      </w:r>
      <w:r>
        <w:rPr>
          <w:color w:val="000000" w:themeColor="text1"/>
          <w:sz w:val="21"/>
          <w:szCs w:val="21"/>
        </w:rPr>
        <w:instrText xml:space="preserve"> SEQ  dpara</w:instrText>
      </w:r>
      <w:r>
        <w:rPr>
          <w:color w:val="000000" w:themeColor="text1"/>
          <w:sz w:val="21"/>
          <w:szCs w:val="21"/>
        </w:rPr>
        <w:fldChar w:fldCharType="separate"/>
      </w:r>
      <w:r w:rsidR="0042183E">
        <w:rPr>
          <w:noProof/>
          <w:color w:val="000000" w:themeColor="text1"/>
          <w:sz w:val="21"/>
          <w:szCs w:val="21"/>
        </w:rPr>
        <w:instrText>78</w:instrText>
      </w:r>
      <w:r>
        <w:rPr>
          <w:color w:val="000000" w:themeColor="text1"/>
          <w:sz w:val="21"/>
          <w:szCs w:val="21"/>
        </w:rPr>
        <w:fldChar w:fldCharType="end"/>
      </w:r>
      <w:r>
        <w:rPr>
          <w:color w:val="000000" w:themeColor="text1"/>
          <w:sz w:val="21"/>
          <w:szCs w:val="21"/>
        </w:rPr>
        <w:instrText>.</w:instrText>
      </w:r>
      <w:r>
        <w:rPr>
          <w:color w:val="000000" w:themeColor="text1"/>
          <w:sz w:val="21"/>
          <w:szCs w:val="21"/>
        </w:rPr>
        <w:tab/>
      </w:r>
      <w:r>
        <w:rPr>
          <w:color w:val="000000" w:themeColor="text1"/>
          <w:sz w:val="21"/>
          <w:szCs w:val="21"/>
        </w:rPr>
        <w:fldChar w:fldCharType="end"/>
      </w:r>
      <w:r w:rsidR="00947D13" w:rsidRPr="00F421ED">
        <w:rPr>
          <w:color w:val="000000" w:themeColor="text1"/>
          <w:sz w:val="21"/>
          <w:szCs w:val="21"/>
        </w:rPr>
        <w:t>The policies that are combined to calculate the GSSE are grouped into categories of expenditure. The breakdown is made on the basis of specific activity or type of service, rather than implementation criteria. Table </w:t>
      </w:r>
      <w:r w:rsidR="000D5306" w:rsidRPr="00F421ED">
        <w:rPr>
          <w:color w:val="000000" w:themeColor="text1"/>
          <w:sz w:val="21"/>
          <w:szCs w:val="21"/>
        </w:rPr>
        <w:t>6</w:t>
      </w:r>
      <w:r w:rsidR="00947D13" w:rsidRPr="00F421ED">
        <w:rPr>
          <w:color w:val="000000" w:themeColor="text1"/>
          <w:sz w:val="21"/>
          <w:szCs w:val="21"/>
        </w:rPr>
        <w:t xml:space="preserve">.1 illustrates how the composition of support to general services can be shown for a country. </w:t>
      </w:r>
    </w:p>
    <w:p w:rsidR="00DE0F0E" w:rsidRDefault="00DE0F0E" w:rsidP="00DE0F0E">
      <w:pPr>
        <w:pStyle w:val="TableTitle"/>
        <w:rPr>
          <w:lang w:eastAsia="en-US"/>
        </w:rPr>
      </w:pPr>
      <w:r>
        <w:rPr>
          <w:lang w:eastAsia="en-US"/>
        </w:rPr>
        <w:t>Table 6.1 Composition of GSSE by category (example)</w:t>
      </w:r>
      <w:r>
        <w:rPr>
          <w:lang w:eastAsia="en-US"/>
        </w:rPr>
        <w:fldChar w:fldCharType="begin"/>
      </w:r>
      <w:r>
        <w:rPr>
          <w:lang w:eastAsia="en-US"/>
        </w:rPr>
        <w:instrText xml:space="preserve"> TC \f t \l 2 "</w:instrText>
      </w:r>
      <w:bookmarkStart w:id="342" w:name="_Toc445908276"/>
      <w:r>
        <w:rPr>
          <w:lang w:eastAsia="en-US"/>
        </w:rPr>
        <w:instrText>Table 6.1 Composition of GSSE by category (example)</w:instrText>
      </w:r>
      <w:bookmarkEnd w:id="342"/>
      <w:r>
        <w:rPr>
          <w:lang w:eastAsia="en-US"/>
        </w:rPr>
        <w:instrText xml:space="preserve">"  </w:instrText>
      </w:r>
      <w:r>
        <w:rPr>
          <w:lang w:eastAsia="en-US"/>
        </w:rPr>
        <w:fldChar w:fldCharType="end"/>
      </w:r>
    </w:p>
    <w:p w:rsidR="00DE0F0E" w:rsidRDefault="00DE0F0E" w:rsidP="00DE0F0E">
      <w:pPr>
        <w:pStyle w:val="Table"/>
        <w:rPr>
          <w:lang w:eastAsia="en-US"/>
        </w:rPr>
      </w:pPr>
      <w:r w:rsidRPr="00DE0F0E">
        <w:rPr>
          <w:noProof/>
          <w:lang w:eastAsia="en-GB"/>
        </w:rPr>
        <w:drawing>
          <wp:inline distT="0" distB="0" distL="0" distR="0">
            <wp:extent cx="5149970" cy="18828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58475" cy="1885976"/>
                    </a:xfrm>
                    <a:prstGeom prst="rect">
                      <a:avLst/>
                    </a:prstGeom>
                    <a:noFill/>
                    <a:ln>
                      <a:noFill/>
                    </a:ln>
                  </pic:spPr>
                </pic:pic>
              </a:graphicData>
            </a:graphic>
          </wp:inline>
        </w:drawing>
      </w:r>
    </w:p>
    <w:p w:rsidR="00947D13" w:rsidRPr="00F421ED" w:rsidRDefault="00947D13" w:rsidP="00947D13">
      <w:pPr>
        <w:pStyle w:val="Num-DocParagraph"/>
        <w:tabs>
          <w:tab w:val="left" w:pos="5068"/>
        </w:tabs>
        <w:rPr>
          <w:color w:val="000000" w:themeColor="text1"/>
          <w:sz w:val="21"/>
          <w:szCs w:val="21"/>
          <w:lang w:eastAsia="en-US"/>
        </w:rPr>
      </w:pPr>
      <w:r w:rsidRPr="00F421ED">
        <w:rPr>
          <w:color w:val="000000" w:themeColor="text1"/>
          <w:sz w:val="21"/>
          <w:szCs w:val="21"/>
          <w:lang w:eastAsia="en-US"/>
        </w:rPr>
        <w:fldChar w:fldCharType="begin"/>
      </w:r>
      <w:r w:rsidRPr="00F421ED">
        <w:rPr>
          <w:color w:val="000000" w:themeColor="text1"/>
          <w:sz w:val="21"/>
          <w:szCs w:val="21"/>
          <w:lang w:eastAsia="en-US"/>
        </w:rPr>
        <w:instrText xml:space="preserve"> MACROBUTTON NUMBERING </w:instrText>
      </w:r>
      <w:r w:rsidRPr="00F421ED">
        <w:rPr>
          <w:color w:val="000000" w:themeColor="text1"/>
          <w:sz w:val="21"/>
          <w:szCs w:val="21"/>
          <w:lang w:eastAsia="en-US"/>
        </w:rPr>
        <w:fldChar w:fldCharType="begin"/>
      </w:r>
      <w:r w:rsidRPr="00F421ED">
        <w:rPr>
          <w:color w:val="000000" w:themeColor="text1"/>
          <w:sz w:val="21"/>
          <w:szCs w:val="21"/>
          <w:lang w:eastAsia="en-US"/>
        </w:rPr>
        <w:instrText xml:space="preserve"> SEQ  dpara</w:instrText>
      </w:r>
      <w:r w:rsidRPr="00F421ED">
        <w:rPr>
          <w:color w:val="000000" w:themeColor="text1"/>
          <w:sz w:val="21"/>
          <w:szCs w:val="21"/>
          <w:lang w:eastAsia="en-US"/>
        </w:rPr>
        <w:fldChar w:fldCharType="separate"/>
      </w:r>
      <w:r w:rsidR="0042183E">
        <w:rPr>
          <w:noProof/>
          <w:color w:val="000000" w:themeColor="text1"/>
          <w:sz w:val="21"/>
          <w:szCs w:val="21"/>
          <w:lang w:eastAsia="en-US"/>
        </w:rPr>
        <w:instrText>79</w:instrText>
      </w:r>
      <w:r w:rsidRPr="00F421ED">
        <w:rPr>
          <w:color w:val="000000" w:themeColor="text1"/>
          <w:sz w:val="21"/>
          <w:szCs w:val="21"/>
          <w:lang w:eastAsia="en-US"/>
        </w:rPr>
        <w:fldChar w:fldCharType="end"/>
      </w:r>
      <w:r w:rsidRPr="00F421ED">
        <w:rPr>
          <w:color w:val="000000" w:themeColor="text1"/>
          <w:sz w:val="21"/>
          <w:szCs w:val="21"/>
          <w:lang w:eastAsia="en-US"/>
        </w:rPr>
        <w:instrText>.</w:instrText>
      </w:r>
      <w:r w:rsidRPr="00F421ED">
        <w:rPr>
          <w:color w:val="000000" w:themeColor="text1"/>
          <w:sz w:val="21"/>
          <w:szCs w:val="21"/>
          <w:lang w:eastAsia="en-US"/>
        </w:rPr>
        <w:tab/>
      </w:r>
      <w:r w:rsidRPr="00F421ED">
        <w:rPr>
          <w:color w:val="000000" w:themeColor="text1"/>
          <w:sz w:val="21"/>
          <w:szCs w:val="21"/>
          <w:lang w:eastAsia="en-US"/>
        </w:rPr>
        <w:fldChar w:fldCharType="end"/>
      </w:r>
      <w:r w:rsidRPr="00F421ED">
        <w:rPr>
          <w:color w:val="000000" w:themeColor="text1"/>
          <w:sz w:val="21"/>
          <w:szCs w:val="21"/>
          <w:lang w:eastAsia="en-US"/>
        </w:rPr>
        <w:t>The example reflects the relative importance of the various GSSE categories and how they can change over time.</w:t>
      </w:r>
    </w:p>
    <w:p w:rsidR="00947D13" w:rsidRPr="00F421ED" w:rsidRDefault="007B4CE8" w:rsidP="00947D13">
      <w:pPr>
        <w:pStyle w:val="Heading2"/>
        <w:tabs>
          <w:tab w:val="left" w:pos="5068"/>
        </w:tabs>
        <w:rPr>
          <w:color w:val="000000" w:themeColor="text1"/>
          <w:sz w:val="21"/>
          <w:szCs w:val="21"/>
        </w:rPr>
      </w:pPr>
      <w:bookmarkStart w:id="343" w:name="Chapter_11_3"/>
      <w:bookmarkStart w:id="344" w:name="_Toc203897844"/>
      <w:bookmarkStart w:id="345" w:name="_Toc203898518"/>
      <w:bookmarkStart w:id="346" w:name="_Toc272931624"/>
      <w:bookmarkStart w:id="347" w:name="_Toc273007926"/>
      <w:bookmarkStart w:id="348" w:name="_Toc361730764"/>
      <w:bookmarkStart w:id="349" w:name="_Toc445973542"/>
      <w:r w:rsidRPr="00F421ED">
        <w:rPr>
          <w:color w:val="000000" w:themeColor="text1"/>
          <w:sz w:val="21"/>
          <w:szCs w:val="21"/>
        </w:rPr>
        <w:lastRenderedPageBreak/>
        <w:t>6</w:t>
      </w:r>
      <w:r w:rsidR="00947D13" w:rsidRPr="00F421ED">
        <w:rPr>
          <w:color w:val="000000" w:themeColor="text1"/>
          <w:sz w:val="21"/>
          <w:szCs w:val="21"/>
        </w:rPr>
        <w:t>.3.</w:t>
      </w:r>
      <w:r w:rsidR="00947D13" w:rsidRPr="00F421ED">
        <w:rPr>
          <w:color w:val="000000" w:themeColor="text1"/>
          <w:sz w:val="21"/>
          <w:szCs w:val="21"/>
        </w:rPr>
        <w:tab/>
        <w:t>Some potential misunderstandings of the indicators</w:t>
      </w:r>
      <w:bookmarkEnd w:id="343"/>
      <w:bookmarkEnd w:id="344"/>
      <w:bookmarkEnd w:id="345"/>
      <w:bookmarkEnd w:id="346"/>
      <w:bookmarkEnd w:id="347"/>
      <w:bookmarkEnd w:id="348"/>
      <w:bookmarkEnd w:id="349"/>
    </w:p>
    <w:p w:rsidR="00947D13" w:rsidRPr="00F421ED" w:rsidRDefault="00947D13" w:rsidP="00947D13">
      <w:pPr>
        <w:pStyle w:val="Num-DocParagraph"/>
        <w:tabs>
          <w:tab w:val="left" w:pos="5068"/>
        </w:tabs>
        <w:rPr>
          <w:color w:val="000000" w:themeColor="text1"/>
          <w:sz w:val="21"/>
          <w:szCs w:val="21"/>
        </w:rPr>
      </w:pPr>
      <w:r w:rsidRPr="00F421ED">
        <w:rPr>
          <w:color w:val="000000" w:themeColor="text1"/>
          <w:sz w:val="21"/>
          <w:szCs w:val="21"/>
        </w:rPr>
        <w:fldChar w:fldCharType="begin"/>
      </w:r>
      <w:r w:rsidRPr="00F421ED">
        <w:rPr>
          <w:color w:val="000000" w:themeColor="text1"/>
          <w:sz w:val="21"/>
          <w:szCs w:val="21"/>
        </w:rPr>
        <w:instrText xml:space="preserve"> MACROBUTTON NUMBERING </w:instrText>
      </w:r>
      <w:r w:rsidRPr="00F421ED">
        <w:rPr>
          <w:color w:val="000000" w:themeColor="text1"/>
          <w:sz w:val="21"/>
          <w:szCs w:val="21"/>
        </w:rPr>
        <w:fldChar w:fldCharType="begin"/>
      </w:r>
      <w:r w:rsidRPr="00F421ED">
        <w:rPr>
          <w:color w:val="000000" w:themeColor="text1"/>
          <w:sz w:val="21"/>
          <w:szCs w:val="21"/>
        </w:rPr>
        <w:instrText xml:space="preserve"> SEQ  dpara</w:instrText>
      </w:r>
      <w:r w:rsidRPr="00F421ED">
        <w:rPr>
          <w:color w:val="000000" w:themeColor="text1"/>
          <w:sz w:val="21"/>
          <w:szCs w:val="21"/>
        </w:rPr>
        <w:fldChar w:fldCharType="separate"/>
      </w:r>
      <w:r w:rsidR="0042183E">
        <w:rPr>
          <w:noProof/>
          <w:color w:val="000000" w:themeColor="text1"/>
          <w:sz w:val="21"/>
          <w:szCs w:val="21"/>
        </w:rPr>
        <w:instrText>80</w:instrText>
      </w:r>
      <w:r w:rsidRPr="00F421ED">
        <w:rPr>
          <w:color w:val="000000" w:themeColor="text1"/>
          <w:sz w:val="21"/>
          <w:szCs w:val="21"/>
        </w:rPr>
        <w:fldChar w:fldCharType="end"/>
      </w:r>
      <w:r w:rsidRPr="00F421ED">
        <w:rPr>
          <w:color w:val="000000" w:themeColor="text1"/>
          <w:sz w:val="21"/>
          <w:szCs w:val="21"/>
        </w:rPr>
        <w:instrText>.</w:instrText>
      </w:r>
      <w:r w:rsidRPr="00F421ED">
        <w:rPr>
          <w:color w:val="000000" w:themeColor="text1"/>
          <w:sz w:val="21"/>
          <w:szCs w:val="21"/>
        </w:rPr>
        <w:tab/>
      </w:r>
      <w:r w:rsidRPr="00F421ED">
        <w:rPr>
          <w:color w:val="000000" w:themeColor="text1"/>
          <w:sz w:val="21"/>
          <w:szCs w:val="21"/>
        </w:rPr>
        <w:fldChar w:fldCharType="end"/>
      </w:r>
      <w:r w:rsidRPr="00F421ED">
        <w:rPr>
          <w:color w:val="000000" w:themeColor="text1"/>
          <w:sz w:val="21"/>
          <w:szCs w:val="21"/>
        </w:rPr>
        <w:t>One potential misunderstanding is</w:t>
      </w:r>
      <w:r w:rsidRPr="00F421ED">
        <w:rPr>
          <w:i/>
          <w:color w:val="000000" w:themeColor="text1"/>
          <w:sz w:val="21"/>
          <w:szCs w:val="21"/>
        </w:rPr>
        <w:t xml:space="preserve"> that the FSE shows additional income for fishers</w:t>
      </w:r>
      <w:r w:rsidRPr="00F421ED">
        <w:rPr>
          <w:color w:val="000000" w:themeColor="text1"/>
          <w:sz w:val="21"/>
          <w:szCs w:val="21"/>
        </w:rPr>
        <w:t>. It may be tempting to conclude that incomes increase by the amount of support provided, e.g.</w:t>
      </w:r>
      <w:r w:rsidRPr="00F421ED">
        <w:rPr>
          <w:i/>
          <w:color w:val="000000" w:themeColor="text1"/>
          <w:sz w:val="21"/>
          <w:szCs w:val="21"/>
        </w:rPr>
        <w:t> </w:t>
      </w:r>
      <w:r w:rsidRPr="00F421ED">
        <w:rPr>
          <w:color w:val="000000" w:themeColor="text1"/>
          <w:sz w:val="21"/>
          <w:szCs w:val="21"/>
        </w:rPr>
        <w:t xml:space="preserve">that a FSE of USD 100 billion means that income is higher by that amount due to support policies. Yet, this is not the case. The relation between transfers and income can be complex, and is likely to vary over time. Some of the value of transfers may be lost due to transfer inefficiencies related to market distortions caused by the support policies. For example, support to vessel modernisation may drive up the price of components or gear, or decommissioning schemes may change the value of used vessels. </w:t>
      </w:r>
    </w:p>
    <w:p w:rsidR="00AC7DB7" w:rsidRDefault="00AC7DB7" w:rsidP="00947D13">
      <w:pPr>
        <w:pStyle w:val="Num-DocParagraph"/>
        <w:tabs>
          <w:tab w:val="left" w:pos="5068"/>
        </w:tabs>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81</w:instrText>
      </w:r>
      <w:r>
        <w:rPr>
          <w:sz w:val="21"/>
          <w:szCs w:val="21"/>
        </w:rPr>
        <w:fldChar w:fldCharType="end"/>
      </w:r>
      <w:r>
        <w:rPr>
          <w:sz w:val="21"/>
          <w:szCs w:val="21"/>
        </w:rPr>
        <w:instrText>.</w:instrText>
      </w:r>
      <w:r>
        <w:rPr>
          <w:sz w:val="21"/>
          <w:szCs w:val="21"/>
        </w:rPr>
        <w:tab/>
      </w:r>
      <w:r>
        <w:rPr>
          <w:sz w:val="21"/>
          <w:szCs w:val="21"/>
        </w:rPr>
        <w:fldChar w:fldCharType="end"/>
      </w:r>
      <w:r w:rsidRPr="00332860">
        <w:rPr>
          <w:sz w:val="21"/>
          <w:szCs w:val="21"/>
        </w:rPr>
        <w:t xml:space="preserve">It is also important to understand clearly that </w:t>
      </w:r>
      <w:r w:rsidRPr="00332860">
        <w:rPr>
          <w:i/>
          <w:sz w:val="21"/>
          <w:szCs w:val="21"/>
        </w:rPr>
        <w:t xml:space="preserve">the </w:t>
      </w:r>
      <w:r>
        <w:rPr>
          <w:i/>
          <w:sz w:val="21"/>
          <w:szCs w:val="21"/>
        </w:rPr>
        <w:t>F</w:t>
      </w:r>
      <w:r w:rsidRPr="00332860">
        <w:rPr>
          <w:i/>
          <w:sz w:val="21"/>
          <w:szCs w:val="21"/>
        </w:rPr>
        <w:t xml:space="preserve">SE should not be considered as an indicator of </w:t>
      </w:r>
      <w:r>
        <w:rPr>
          <w:i/>
          <w:sz w:val="21"/>
          <w:szCs w:val="21"/>
        </w:rPr>
        <w:t>policy-induced changes in effort or harvest</w:t>
      </w:r>
      <w:r w:rsidRPr="00332860">
        <w:rPr>
          <w:sz w:val="21"/>
          <w:szCs w:val="21"/>
        </w:rPr>
        <w:t xml:space="preserve">. The </w:t>
      </w:r>
      <w:r>
        <w:rPr>
          <w:sz w:val="21"/>
          <w:szCs w:val="21"/>
        </w:rPr>
        <w:t>F</w:t>
      </w:r>
      <w:r w:rsidRPr="00332860">
        <w:rPr>
          <w:sz w:val="21"/>
          <w:szCs w:val="21"/>
        </w:rPr>
        <w:t xml:space="preserve">SE is an aggregate measure of transfers resulting from a wide variety of policies, all of which may have different effects. For example, a payment </w:t>
      </w:r>
      <w:r>
        <w:rPr>
          <w:sz w:val="21"/>
          <w:szCs w:val="21"/>
        </w:rPr>
        <w:t>for early retirement of fishers is</w:t>
      </w:r>
      <w:r w:rsidRPr="00332860">
        <w:rPr>
          <w:sz w:val="21"/>
          <w:szCs w:val="21"/>
        </w:rPr>
        <w:t xml:space="preserve"> like</w:t>
      </w:r>
      <w:r>
        <w:rPr>
          <w:sz w:val="21"/>
          <w:szCs w:val="21"/>
        </w:rPr>
        <w:t>ly to have much less effect on harvest than a support for vessel construction of the same amount</w:t>
      </w:r>
      <w:r w:rsidRPr="00332860">
        <w:rPr>
          <w:sz w:val="21"/>
          <w:szCs w:val="21"/>
        </w:rPr>
        <w:t xml:space="preserve">. Without taking a close look at the composition of support from different types of policies, it is impossible to say anything about the </w:t>
      </w:r>
      <w:r>
        <w:rPr>
          <w:sz w:val="21"/>
          <w:szCs w:val="21"/>
        </w:rPr>
        <w:t>implication of support on effort</w:t>
      </w:r>
      <w:r w:rsidRPr="00332860">
        <w:rPr>
          <w:sz w:val="21"/>
          <w:szCs w:val="21"/>
        </w:rPr>
        <w:t>. It is perfectly possible th</w:t>
      </w:r>
      <w:r>
        <w:rPr>
          <w:sz w:val="21"/>
          <w:szCs w:val="21"/>
        </w:rPr>
        <w:t>at a country with a constant level of support</w:t>
      </w:r>
      <w:r w:rsidRPr="00332860">
        <w:rPr>
          <w:sz w:val="21"/>
          <w:szCs w:val="21"/>
        </w:rPr>
        <w:t xml:space="preserve"> over time has changed its policy composition in a way that significantly reduces the </w:t>
      </w:r>
      <w:r>
        <w:rPr>
          <w:sz w:val="21"/>
          <w:szCs w:val="21"/>
        </w:rPr>
        <w:t>undesired impacts</w:t>
      </w:r>
      <w:r w:rsidRPr="00332860">
        <w:rPr>
          <w:sz w:val="21"/>
          <w:szCs w:val="21"/>
        </w:rPr>
        <w:t xml:space="preserve"> resulting from </w:t>
      </w:r>
      <w:r>
        <w:rPr>
          <w:sz w:val="21"/>
          <w:szCs w:val="21"/>
        </w:rPr>
        <w:t xml:space="preserve">that </w:t>
      </w:r>
      <w:r w:rsidRPr="00332860">
        <w:rPr>
          <w:sz w:val="21"/>
          <w:szCs w:val="21"/>
        </w:rPr>
        <w:t>support.</w:t>
      </w:r>
      <w:r>
        <w:rPr>
          <w:sz w:val="21"/>
          <w:szCs w:val="21"/>
        </w:rPr>
        <w:t xml:space="preserve"> Moreover, the stringency and effectiveness of management systems in controlling harvest will be much more important. In the limit case of perfect management control, no form of support can increase harvest (though some may reduce it).</w:t>
      </w:r>
    </w:p>
    <w:p w:rsidR="00947D13" w:rsidRPr="00AC7DB7" w:rsidRDefault="00AC7DB7" w:rsidP="00947D13">
      <w:pPr>
        <w:pStyle w:val="Num-DocParagraph"/>
        <w:tabs>
          <w:tab w:val="left" w:pos="5068"/>
        </w:tabs>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82</w:instrText>
      </w:r>
      <w:r>
        <w:rPr>
          <w:sz w:val="21"/>
          <w:szCs w:val="21"/>
        </w:rPr>
        <w:fldChar w:fldCharType="end"/>
      </w:r>
      <w:r>
        <w:rPr>
          <w:sz w:val="21"/>
          <w:szCs w:val="21"/>
        </w:rPr>
        <w:instrText>.</w:instrText>
      </w:r>
      <w:r>
        <w:rPr>
          <w:sz w:val="21"/>
          <w:szCs w:val="21"/>
        </w:rPr>
        <w:tab/>
      </w:r>
      <w:r>
        <w:rPr>
          <w:sz w:val="21"/>
          <w:szCs w:val="21"/>
        </w:rPr>
        <w:fldChar w:fldCharType="end"/>
      </w:r>
      <w:r w:rsidR="00947D13" w:rsidRPr="00AC7DB7">
        <w:rPr>
          <w:sz w:val="21"/>
          <w:szCs w:val="21"/>
        </w:rPr>
        <w:t>Bearing in mind that any changes in support lead to economic adjustments is important in order to avoid another</w:t>
      </w:r>
      <w:r w:rsidR="00947D13" w:rsidRPr="00AC7DB7">
        <w:rPr>
          <w:i/>
          <w:sz w:val="21"/>
          <w:szCs w:val="21"/>
        </w:rPr>
        <w:t xml:space="preserve"> mistake, </w:t>
      </w:r>
      <w:r w:rsidR="00947D13" w:rsidRPr="00AC7DB7">
        <w:rPr>
          <w:sz w:val="21"/>
          <w:szCs w:val="21"/>
        </w:rPr>
        <w:t>i.e.</w:t>
      </w:r>
      <w:r w:rsidR="00947D13" w:rsidRPr="00AC7DB7">
        <w:rPr>
          <w:i/>
          <w:sz w:val="21"/>
          <w:szCs w:val="21"/>
        </w:rPr>
        <w:t> to suggest that aggregate revenue would decline by the amount of total support if all policies were removed</w:t>
      </w:r>
      <w:r w:rsidR="00947D13" w:rsidRPr="00AC7DB7">
        <w:rPr>
          <w:sz w:val="21"/>
          <w:szCs w:val="21"/>
        </w:rPr>
        <w:t>. The FSE captures support to fishers in current world market conditions, and fishers make decisions based on the level of support. These conditions and decisions would change if support changed, mitigating the impact of a reduction in support</w:t>
      </w:r>
      <w:r w:rsidR="00947D13" w:rsidRPr="00AC7DB7">
        <w:rPr>
          <w:bCs/>
          <w:sz w:val="21"/>
          <w:szCs w:val="21"/>
        </w:rPr>
        <w:t>.</w:t>
      </w:r>
    </w:p>
    <w:p w:rsidR="00947D13" w:rsidRDefault="00947D13" w:rsidP="00947D13">
      <w:pPr>
        <w:pStyle w:val="Num-DocParagraph"/>
        <w:tabs>
          <w:tab w:val="left" w:pos="5068"/>
        </w:tabs>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83</w:instrText>
      </w:r>
      <w:r>
        <w:rPr>
          <w:sz w:val="21"/>
          <w:szCs w:val="21"/>
        </w:rPr>
        <w:fldChar w:fldCharType="end"/>
      </w:r>
      <w:r>
        <w:rPr>
          <w:sz w:val="21"/>
          <w:szCs w:val="21"/>
        </w:rPr>
        <w:instrText>.</w:instrText>
      </w:r>
      <w:r>
        <w:rPr>
          <w:sz w:val="21"/>
          <w:szCs w:val="21"/>
        </w:rPr>
        <w:tab/>
      </w:r>
      <w:r>
        <w:rPr>
          <w:sz w:val="21"/>
          <w:szCs w:val="21"/>
        </w:rPr>
        <w:fldChar w:fldCharType="end"/>
      </w:r>
      <w:r w:rsidR="009A4EF3">
        <w:rPr>
          <w:sz w:val="21"/>
          <w:szCs w:val="21"/>
        </w:rPr>
        <w:t>The</w:t>
      </w:r>
      <w:r w:rsidRPr="00332860">
        <w:rPr>
          <w:sz w:val="21"/>
          <w:szCs w:val="21"/>
        </w:rPr>
        <w:t xml:space="preserve"> </w:t>
      </w:r>
      <w:r w:rsidR="001D0B69">
        <w:rPr>
          <w:sz w:val="21"/>
          <w:szCs w:val="21"/>
        </w:rPr>
        <w:t>FSE data does</w:t>
      </w:r>
      <w:r w:rsidR="001D0B69" w:rsidRPr="00332860">
        <w:rPr>
          <w:sz w:val="21"/>
          <w:szCs w:val="21"/>
        </w:rPr>
        <w:t xml:space="preserve"> </w:t>
      </w:r>
      <w:r w:rsidRPr="00332860">
        <w:rPr>
          <w:i/>
          <w:sz w:val="21"/>
          <w:szCs w:val="21"/>
        </w:rPr>
        <w:t>not</w:t>
      </w:r>
      <w:r w:rsidRPr="00332860">
        <w:rPr>
          <w:sz w:val="21"/>
          <w:szCs w:val="21"/>
        </w:rPr>
        <w:t xml:space="preserve"> </w:t>
      </w:r>
      <w:r w:rsidR="001D0B69">
        <w:rPr>
          <w:sz w:val="21"/>
          <w:szCs w:val="21"/>
        </w:rPr>
        <w:t xml:space="preserve">inform on </w:t>
      </w:r>
      <w:r w:rsidRPr="00332860">
        <w:rPr>
          <w:sz w:val="21"/>
          <w:szCs w:val="21"/>
        </w:rPr>
        <w:t xml:space="preserve">the </w:t>
      </w:r>
      <w:r w:rsidRPr="00332860">
        <w:rPr>
          <w:i/>
          <w:sz w:val="21"/>
          <w:szCs w:val="21"/>
        </w:rPr>
        <w:t>impacts</w:t>
      </w:r>
      <w:r w:rsidRPr="00332860">
        <w:rPr>
          <w:sz w:val="21"/>
          <w:szCs w:val="21"/>
        </w:rPr>
        <w:t xml:space="preserve"> of policy measures. The analysis of policy impacts involves moving beyond the </w:t>
      </w:r>
      <w:r>
        <w:rPr>
          <w:sz w:val="21"/>
          <w:szCs w:val="21"/>
        </w:rPr>
        <w:t>data</w:t>
      </w:r>
      <w:r w:rsidRPr="00332860">
        <w:rPr>
          <w:sz w:val="21"/>
          <w:szCs w:val="21"/>
        </w:rPr>
        <w:t xml:space="preserve"> to policy simulation modelling, which </w:t>
      </w:r>
      <w:r>
        <w:rPr>
          <w:sz w:val="21"/>
          <w:szCs w:val="21"/>
        </w:rPr>
        <w:t xml:space="preserve">can </w:t>
      </w:r>
      <w:r w:rsidRPr="00332860">
        <w:rPr>
          <w:sz w:val="21"/>
          <w:szCs w:val="21"/>
        </w:rPr>
        <w:t xml:space="preserve">give an indication of the effects of changes in </w:t>
      </w:r>
      <w:r>
        <w:rPr>
          <w:sz w:val="21"/>
          <w:szCs w:val="21"/>
        </w:rPr>
        <w:t>the level of support on harvest, stocks, fleets and more</w:t>
      </w:r>
      <w:r w:rsidRPr="00332860">
        <w:rPr>
          <w:sz w:val="21"/>
          <w:szCs w:val="21"/>
        </w:rPr>
        <w:t xml:space="preserve">. </w:t>
      </w:r>
    </w:p>
    <w:p w:rsidR="00947D13" w:rsidRPr="00332860" w:rsidRDefault="00947D13" w:rsidP="00947D13">
      <w:pPr>
        <w:pStyle w:val="Num-DocParagraph"/>
        <w:tabs>
          <w:tab w:val="left" w:pos="5068"/>
        </w:tabs>
        <w:rPr>
          <w:sz w:val="21"/>
          <w:szCs w:val="21"/>
        </w:rPr>
      </w:pPr>
      <w:r w:rsidRPr="00332860">
        <w:rPr>
          <w:sz w:val="21"/>
          <w:szCs w:val="21"/>
        </w:rPr>
        <w:fldChar w:fldCharType="begin"/>
      </w:r>
      <w:r w:rsidRPr="00332860">
        <w:rPr>
          <w:sz w:val="21"/>
          <w:szCs w:val="21"/>
        </w:rPr>
        <w:instrText xml:space="preserve"> MACROBUTTON NUMBERING </w:instrText>
      </w:r>
      <w:r w:rsidRPr="00332860">
        <w:rPr>
          <w:sz w:val="21"/>
          <w:szCs w:val="21"/>
        </w:rPr>
        <w:fldChar w:fldCharType="begin"/>
      </w:r>
      <w:r w:rsidRPr="00332860">
        <w:rPr>
          <w:sz w:val="21"/>
          <w:szCs w:val="21"/>
        </w:rPr>
        <w:instrText xml:space="preserve"> SEQ  dpara</w:instrText>
      </w:r>
      <w:r w:rsidRPr="00332860">
        <w:rPr>
          <w:sz w:val="21"/>
          <w:szCs w:val="21"/>
        </w:rPr>
        <w:fldChar w:fldCharType="separate"/>
      </w:r>
      <w:r w:rsidR="0042183E">
        <w:rPr>
          <w:noProof/>
          <w:sz w:val="21"/>
          <w:szCs w:val="21"/>
        </w:rPr>
        <w:instrText>84</w:instrText>
      </w:r>
      <w:r w:rsidRPr="00332860">
        <w:rPr>
          <w:sz w:val="21"/>
          <w:szCs w:val="21"/>
        </w:rPr>
        <w:fldChar w:fldCharType="end"/>
      </w:r>
      <w:r w:rsidRPr="00332860">
        <w:rPr>
          <w:sz w:val="21"/>
          <w:szCs w:val="21"/>
        </w:rPr>
        <w:instrText>.</w:instrText>
      </w:r>
      <w:r w:rsidRPr="00332860">
        <w:rPr>
          <w:sz w:val="21"/>
          <w:szCs w:val="21"/>
        </w:rPr>
        <w:tab/>
      </w:r>
      <w:r w:rsidRPr="00332860">
        <w:rPr>
          <w:sz w:val="21"/>
          <w:szCs w:val="21"/>
        </w:rPr>
        <w:fldChar w:fldCharType="end"/>
      </w:r>
      <w:r w:rsidRPr="00332860">
        <w:rPr>
          <w:sz w:val="21"/>
          <w:szCs w:val="21"/>
        </w:rPr>
        <w:t xml:space="preserve">One </w:t>
      </w:r>
      <w:r w:rsidRPr="00332860">
        <w:rPr>
          <w:i/>
          <w:sz w:val="21"/>
          <w:szCs w:val="21"/>
        </w:rPr>
        <w:t>misinterpretation</w:t>
      </w:r>
      <w:r w:rsidRPr="00332860">
        <w:rPr>
          <w:sz w:val="21"/>
          <w:szCs w:val="21"/>
        </w:rPr>
        <w:t xml:space="preserve"> of this kind</w:t>
      </w:r>
      <w:r w:rsidRPr="00332860">
        <w:rPr>
          <w:i/>
          <w:sz w:val="21"/>
          <w:szCs w:val="21"/>
        </w:rPr>
        <w:t xml:space="preserve"> is to consider that a change in the </w:t>
      </w:r>
      <w:r>
        <w:rPr>
          <w:i/>
          <w:sz w:val="21"/>
          <w:szCs w:val="21"/>
        </w:rPr>
        <w:t>F</w:t>
      </w:r>
      <w:r w:rsidRPr="00332860">
        <w:rPr>
          <w:i/>
          <w:sz w:val="21"/>
          <w:szCs w:val="21"/>
        </w:rPr>
        <w:t>SE necessarily implies change in policy settings</w:t>
      </w:r>
      <w:r w:rsidRPr="00332860">
        <w:rPr>
          <w:sz w:val="21"/>
          <w:szCs w:val="21"/>
        </w:rPr>
        <w:t xml:space="preserve">. </w:t>
      </w:r>
      <w:r>
        <w:rPr>
          <w:sz w:val="21"/>
          <w:szCs w:val="21"/>
        </w:rPr>
        <w:t>Fuel tax concessions can depend on the amount of fuel consumed, while employment insurance for crew can depend on market and fish stock conditions. V</w:t>
      </w:r>
      <w:r w:rsidRPr="00332860">
        <w:rPr>
          <w:sz w:val="21"/>
          <w:szCs w:val="21"/>
        </w:rPr>
        <w:t xml:space="preserve">ariation in the </w:t>
      </w:r>
      <w:r>
        <w:rPr>
          <w:sz w:val="21"/>
          <w:szCs w:val="21"/>
        </w:rPr>
        <w:t>measured level of support</w:t>
      </w:r>
      <w:r w:rsidRPr="00332860">
        <w:rPr>
          <w:sz w:val="21"/>
          <w:szCs w:val="21"/>
        </w:rPr>
        <w:t xml:space="preserve"> is nevertheless an appropriate reflection of the nature of policies. It indicates that these policies</w:t>
      </w:r>
      <w:r>
        <w:rPr>
          <w:sz w:val="21"/>
          <w:szCs w:val="21"/>
        </w:rPr>
        <w:t xml:space="preserve"> depend on conditions and are not simply fixed</w:t>
      </w:r>
      <w:r w:rsidRPr="00332860">
        <w:rPr>
          <w:sz w:val="21"/>
          <w:szCs w:val="21"/>
        </w:rPr>
        <w:t>.</w:t>
      </w:r>
    </w:p>
    <w:p w:rsidR="00947D13" w:rsidRDefault="00947D13" w:rsidP="00947D13">
      <w:pPr>
        <w:pStyle w:val="Num-DocParagraph"/>
        <w:tabs>
          <w:tab w:val="left" w:pos="5068"/>
        </w:tabs>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85</w:instrText>
      </w:r>
      <w:r>
        <w:rPr>
          <w:sz w:val="21"/>
          <w:szCs w:val="21"/>
        </w:rPr>
        <w:fldChar w:fldCharType="end"/>
      </w:r>
      <w:r>
        <w:rPr>
          <w:sz w:val="21"/>
          <w:szCs w:val="21"/>
        </w:rPr>
        <w:instrText>.</w:instrText>
      </w:r>
      <w:r>
        <w:rPr>
          <w:sz w:val="21"/>
          <w:szCs w:val="21"/>
        </w:rPr>
        <w:tab/>
      </w:r>
      <w:r>
        <w:rPr>
          <w:sz w:val="21"/>
          <w:szCs w:val="21"/>
        </w:rPr>
        <w:fldChar w:fldCharType="end"/>
      </w:r>
      <w:r w:rsidRPr="00332860">
        <w:rPr>
          <w:sz w:val="21"/>
          <w:szCs w:val="21"/>
        </w:rPr>
        <w:t xml:space="preserve">It would be </w:t>
      </w:r>
      <w:r w:rsidRPr="00332860">
        <w:rPr>
          <w:i/>
          <w:sz w:val="21"/>
          <w:szCs w:val="21"/>
        </w:rPr>
        <w:t xml:space="preserve">equally erroneous to conclude that an unchanging </w:t>
      </w:r>
      <w:r>
        <w:rPr>
          <w:i/>
          <w:sz w:val="21"/>
          <w:szCs w:val="21"/>
        </w:rPr>
        <w:t>level of support</w:t>
      </w:r>
      <w:r w:rsidRPr="00332860">
        <w:rPr>
          <w:i/>
          <w:sz w:val="21"/>
          <w:szCs w:val="21"/>
        </w:rPr>
        <w:t xml:space="preserve"> necessarily implies no change in policies</w:t>
      </w:r>
      <w:r w:rsidRPr="00332860">
        <w:rPr>
          <w:sz w:val="21"/>
          <w:szCs w:val="21"/>
        </w:rPr>
        <w:t>. In fact, the policy settings may change, but the overall amount of</w:t>
      </w:r>
      <w:r>
        <w:rPr>
          <w:sz w:val="21"/>
          <w:szCs w:val="21"/>
        </w:rPr>
        <w:t xml:space="preserve"> policy transfers to fishers </w:t>
      </w:r>
      <w:r w:rsidRPr="00332860">
        <w:rPr>
          <w:sz w:val="21"/>
          <w:szCs w:val="21"/>
        </w:rPr>
        <w:t xml:space="preserve">may not. For example, in order to pursue new objectives, </w:t>
      </w:r>
      <w:r w:rsidRPr="00332860">
        <w:rPr>
          <w:i/>
          <w:sz w:val="21"/>
          <w:szCs w:val="21"/>
        </w:rPr>
        <w:t>e.g</w:t>
      </w:r>
      <w:r w:rsidRPr="00332860">
        <w:rPr>
          <w:sz w:val="21"/>
          <w:szCs w:val="21"/>
        </w:rPr>
        <w:t>. </w:t>
      </w:r>
      <w:r>
        <w:rPr>
          <w:sz w:val="21"/>
          <w:szCs w:val="21"/>
        </w:rPr>
        <w:t>marine ecosystem protection</w:t>
      </w:r>
      <w:r w:rsidRPr="00332860">
        <w:rPr>
          <w:sz w:val="21"/>
          <w:szCs w:val="21"/>
        </w:rPr>
        <w:t xml:space="preserve">, government may introduce new </w:t>
      </w:r>
      <w:r>
        <w:rPr>
          <w:sz w:val="21"/>
          <w:szCs w:val="21"/>
        </w:rPr>
        <w:t>support schemes (perhaps associated with new regulations)</w:t>
      </w:r>
      <w:r w:rsidRPr="00332860">
        <w:rPr>
          <w:sz w:val="21"/>
          <w:szCs w:val="21"/>
        </w:rPr>
        <w:t xml:space="preserve">. However, this increase may well be offset by a reduction </w:t>
      </w:r>
      <w:r>
        <w:rPr>
          <w:sz w:val="21"/>
          <w:szCs w:val="21"/>
        </w:rPr>
        <w:t xml:space="preserve">support elsewhere, such that the total </w:t>
      </w:r>
      <w:r w:rsidRPr="00332860">
        <w:rPr>
          <w:sz w:val="21"/>
          <w:szCs w:val="21"/>
        </w:rPr>
        <w:t xml:space="preserve">remains unchanged. This should be kept in mind in particular when evaluating a country’s progress in policy reform over time. </w:t>
      </w:r>
      <w:r w:rsidRPr="00332860">
        <w:rPr>
          <w:i/>
          <w:sz w:val="21"/>
          <w:szCs w:val="21"/>
        </w:rPr>
        <w:t xml:space="preserve">The </w:t>
      </w:r>
      <w:r>
        <w:rPr>
          <w:i/>
          <w:sz w:val="21"/>
          <w:szCs w:val="21"/>
        </w:rPr>
        <w:t>total amount of support</w:t>
      </w:r>
      <w:r w:rsidRPr="00332860">
        <w:rPr>
          <w:i/>
          <w:sz w:val="21"/>
          <w:szCs w:val="21"/>
        </w:rPr>
        <w:t xml:space="preserve"> alone is not sufficient to indicate progress (or lack of it) in policy reform.</w:t>
      </w:r>
      <w:r w:rsidRPr="00332860">
        <w:rPr>
          <w:sz w:val="21"/>
          <w:szCs w:val="21"/>
        </w:rPr>
        <w:t xml:space="preserve"> </w:t>
      </w:r>
    </w:p>
    <w:bookmarkStart w:id="350" w:name="_Toc174936728"/>
    <w:bookmarkStart w:id="351" w:name="_Toc176629981"/>
    <w:p w:rsidR="000D5306" w:rsidRDefault="00947D13" w:rsidP="00E97454">
      <w:pPr>
        <w:pStyle w:val="Num-DocParagraph"/>
        <w:tabs>
          <w:tab w:val="left" w:pos="5068"/>
        </w:tabs>
        <w:rPr>
          <w:sz w:val="21"/>
          <w:szCs w:val="21"/>
        </w:rPr>
      </w:pPr>
      <w:r>
        <w:rPr>
          <w:sz w:val="21"/>
          <w:szCs w:val="21"/>
        </w:rPr>
        <w:fldChar w:fldCharType="begin"/>
      </w:r>
      <w:r>
        <w:rPr>
          <w:sz w:val="21"/>
          <w:szCs w:val="21"/>
        </w:rPr>
        <w:instrText xml:space="preserve"> MACROBUTTON NUMBERING </w:instrText>
      </w:r>
      <w:r>
        <w:rPr>
          <w:sz w:val="21"/>
          <w:szCs w:val="21"/>
        </w:rPr>
        <w:fldChar w:fldCharType="begin"/>
      </w:r>
      <w:r>
        <w:rPr>
          <w:sz w:val="21"/>
          <w:szCs w:val="21"/>
        </w:rPr>
        <w:instrText xml:space="preserve"> SEQ  dpara</w:instrText>
      </w:r>
      <w:r>
        <w:rPr>
          <w:sz w:val="21"/>
          <w:szCs w:val="21"/>
        </w:rPr>
        <w:fldChar w:fldCharType="separate"/>
      </w:r>
      <w:r w:rsidR="0042183E">
        <w:rPr>
          <w:noProof/>
          <w:sz w:val="21"/>
          <w:szCs w:val="21"/>
        </w:rPr>
        <w:instrText>86</w:instrText>
      </w:r>
      <w:r>
        <w:rPr>
          <w:sz w:val="21"/>
          <w:szCs w:val="21"/>
        </w:rPr>
        <w:fldChar w:fldCharType="end"/>
      </w:r>
      <w:r>
        <w:rPr>
          <w:sz w:val="21"/>
          <w:szCs w:val="21"/>
        </w:rPr>
        <w:instrText>.</w:instrText>
      </w:r>
      <w:r>
        <w:rPr>
          <w:sz w:val="21"/>
          <w:szCs w:val="21"/>
        </w:rPr>
        <w:tab/>
      </w:r>
      <w:r>
        <w:rPr>
          <w:sz w:val="21"/>
          <w:szCs w:val="21"/>
        </w:rPr>
        <w:fldChar w:fldCharType="end"/>
      </w:r>
      <w:r w:rsidRPr="007344D3">
        <w:rPr>
          <w:sz w:val="21"/>
          <w:szCs w:val="21"/>
        </w:rPr>
        <w:t xml:space="preserve">In conclusion, attention to the underlying concepts and to the overall policy context is essential in interpreting the </w:t>
      </w:r>
      <w:r>
        <w:rPr>
          <w:sz w:val="21"/>
          <w:szCs w:val="21"/>
        </w:rPr>
        <w:t>F</w:t>
      </w:r>
      <w:r w:rsidRPr="007344D3">
        <w:rPr>
          <w:sz w:val="21"/>
          <w:szCs w:val="21"/>
        </w:rPr>
        <w:t xml:space="preserve">SE. As has been shown in this Chapter, all dimensions of the </w:t>
      </w:r>
      <w:r>
        <w:rPr>
          <w:sz w:val="21"/>
          <w:szCs w:val="21"/>
        </w:rPr>
        <w:t>F</w:t>
      </w:r>
      <w:r w:rsidRPr="007344D3">
        <w:rPr>
          <w:sz w:val="21"/>
          <w:szCs w:val="21"/>
        </w:rPr>
        <w:t>SE — its level, its composition in terms of support categories, and the factors driving annual and long-term changes – should be considered when evaluating developments.</w:t>
      </w:r>
      <w:bookmarkEnd w:id="350"/>
      <w:bookmarkEnd w:id="351"/>
    </w:p>
    <w:p w:rsidR="000D5306" w:rsidRDefault="000D5306">
      <w:pPr>
        <w:tabs>
          <w:tab w:val="clear" w:pos="850"/>
          <w:tab w:val="clear" w:pos="1191"/>
          <w:tab w:val="clear" w:pos="1531"/>
        </w:tabs>
        <w:jc w:val="left"/>
        <w:rPr>
          <w:sz w:val="21"/>
          <w:szCs w:val="21"/>
        </w:rPr>
      </w:pPr>
      <w:r>
        <w:rPr>
          <w:sz w:val="21"/>
          <w:szCs w:val="21"/>
        </w:rPr>
        <w:br w:type="page"/>
      </w:r>
    </w:p>
    <w:p w:rsidR="000D5306" w:rsidRDefault="000D5306" w:rsidP="000D5306">
      <w:pPr>
        <w:pStyle w:val="Heading1"/>
      </w:pPr>
      <w:r>
        <w:lastRenderedPageBreak/>
        <w:fldChar w:fldCharType="begin"/>
      </w:r>
      <w:r>
        <w:instrText xml:space="preserve"> MACROBUTTON NUMBERING </w:instrText>
      </w:r>
      <w:r>
        <w:fldChar w:fldCharType="begin"/>
      </w:r>
      <w:r>
        <w:instrText xml:space="preserve"> SEQ  cpara \h \r 0</w:instrText>
      </w:r>
      <w:r>
        <w:fldChar w:fldCharType="end"/>
      </w:r>
      <w:r>
        <w:fldChar w:fldCharType="begin"/>
      </w:r>
      <w:r>
        <w:instrText xml:space="preserve"> SEQ  ccount \h</w:instrText>
      </w:r>
      <w:r>
        <w:fldChar w:fldCharType="end"/>
      </w:r>
      <w:bookmarkStart w:id="352" w:name="_Toc445973543"/>
      <w:r>
        <w:fldChar w:fldCharType="end"/>
      </w:r>
      <w:r>
        <w:t>Annex: Some Calculated Indicators</w:t>
      </w:r>
      <w:bookmarkEnd w:id="352"/>
    </w:p>
    <w:p w:rsidR="000D5306" w:rsidRPr="000D5306" w:rsidRDefault="000D5306" w:rsidP="000D5306">
      <w:pPr>
        <w:pStyle w:val="Num-DocParagraph"/>
      </w:pPr>
      <w:r>
        <w:fldChar w:fldCharType="begin"/>
      </w:r>
      <w:r>
        <w:instrText xml:space="preserve"> MACROBUTTON NUMBERING </w:instrText>
      </w:r>
      <w:r>
        <w:fldChar w:fldCharType="begin"/>
      </w:r>
      <w:r>
        <w:instrText xml:space="preserve"> SEQ  dpara</w:instrText>
      </w:r>
      <w:r>
        <w:fldChar w:fldCharType="separate"/>
      </w:r>
      <w:r w:rsidR="0042183E">
        <w:rPr>
          <w:noProof/>
        </w:rPr>
        <w:instrText>87</w:instrText>
      </w:r>
      <w:r>
        <w:fldChar w:fldCharType="end"/>
      </w:r>
      <w:r>
        <w:instrText>.</w:instrText>
      </w:r>
      <w:r>
        <w:tab/>
      </w:r>
      <w:r>
        <w:fldChar w:fldCharType="end"/>
      </w:r>
      <w:r w:rsidRPr="000D5306">
        <w:t>The following is a set of indicators with definitions, potential use, and current calculation using the preliminary data available. The results show that the indicators provide a wide perspective on support and that the structure of the sector and approach taken to support varies considerably across countries. It also points out the importance of addressing missing values in the data to ensure a full and accurate reporting as in many cases the results look a bit odd (such as when 100% of total support (FSE) is transfers to individual fishers (TIF)).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8"/>
        <w:gridCol w:w="995"/>
        <w:gridCol w:w="4921"/>
      </w:tblGrid>
      <w:tr w:rsidR="000D5306" w:rsidRPr="00E526F3" w:rsidTr="00F421ED">
        <w:tc>
          <w:tcPr>
            <w:tcW w:w="9242" w:type="dxa"/>
            <w:gridSpan w:val="3"/>
            <w:vAlign w:val="center"/>
          </w:tcPr>
          <w:p w:rsidR="000D5306" w:rsidRPr="00E526F3" w:rsidRDefault="000D5306" w:rsidP="00ED262E">
            <w:pPr>
              <w:jc w:val="center"/>
              <w:rPr>
                <w:b/>
                <w:sz w:val="24"/>
                <w:szCs w:val="24"/>
                <w:vertAlign w:val="subscript"/>
              </w:rPr>
            </w:pPr>
            <w:bookmarkStart w:id="353" w:name="_Toc160608167"/>
            <w:bookmarkStart w:id="354" w:name="_Toc160608232"/>
            <w:bookmarkStart w:id="355" w:name="_Toc160608420"/>
            <w:bookmarkStart w:id="356" w:name="_Toc160608993"/>
            <w:bookmarkStart w:id="357" w:name="_Toc160609126"/>
            <w:bookmarkStart w:id="358" w:name="_Toc160609259"/>
            <w:bookmarkStart w:id="359" w:name="_Toc163533488"/>
            <w:bookmarkStart w:id="360" w:name="_Toc172637681"/>
            <w:bookmarkStart w:id="361" w:name="_Toc172718569"/>
            <w:bookmarkStart w:id="362" w:name="_Toc176623278"/>
            <w:bookmarkStart w:id="363" w:name="_Toc176630025"/>
            <w:bookmarkStart w:id="364" w:name="Chapter_6_3"/>
            <w:bookmarkStart w:id="365" w:name="_Toc203897795"/>
            <w:bookmarkStart w:id="366" w:name="_Toc203898469"/>
            <w:bookmarkStart w:id="367" w:name="_Toc272931576"/>
            <w:bookmarkStart w:id="368" w:name="_Toc273007878"/>
            <w:bookmarkStart w:id="369" w:name="_Toc361730717"/>
            <w:r w:rsidRPr="00E526F3">
              <w:rPr>
                <w:b/>
                <w:sz w:val="24"/>
                <w:szCs w:val="24"/>
              </w:rPr>
              <w:t>TIF as a share of GFR (</w:t>
            </w:r>
            <w:r w:rsidR="00ED262E">
              <w:rPr>
                <w:b/>
                <w:sz w:val="24"/>
                <w:szCs w:val="24"/>
              </w:rPr>
              <w:t>%TIF</w:t>
            </w:r>
            <w:r w:rsidRPr="00E526F3">
              <w:rPr>
                <w:b/>
                <w:sz w:val="24"/>
                <w:szCs w:val="24"/>
              </w:rPr>
              <w:t>)</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vertAlign w:val="subscript"/>
              </w:rPr>
            </w:pPr>
          </w:p>
        </w:tc>
      </w:tr>
      <w:tr w:rsidR="000D5306" w:rsidRPr="00E526F3" w:rsidTr="00F421ED">
        <w:tc>
          <w:tcPr>
            <w:tcW w:w="3794" w:type="dxa"/>
            <w:vAlign w:val="center"/>
          </w:tcPr>
          <w:p w:rsidR="000D5306" w:rsidRPr="00E526F3" w:rsidRDefault="000D5306" w:rsidP="00F421ED">
            <w:pPr>
              <w:jc w:val="right"/>
              <w:rPr>
                <w:i/>
                <w:sz w:val="24"/>
                <w:szCs w:val="24"/>
              </w:rPr>
            </w:pPr>
            <w:r w:rsidRPr="00E526F3">
              <w:rPr>
                <w:i/>
                <w:sz w:val="24"/>
                <w:szCs w:val="24"/>
              </w:rPr>
              <w:t>Formula:</w:t>
            </w:r>
          </w:p>
        </w:tc>
        <w:tc>
          <w:tcPr>
            <w:tcW w:w="5448" w:type="dxa"/>
            <w:gridSpan w:val="2"/>
            <w:vAlign w:val="center"/>
          </w:tcPr>
          <w:p w:rsidR="000D5306" w:rsidRPr="00E526F3" w:rsidRDefault="000D5306" w:rsidP="00F421ED">
            <w:pPr>
              <w:rPr>
                <w:i/>
                <w:sz w:val="24"/>
                <w:szCs w:val="24"/>
              </w:rPr>
            </w:pPr>
            <w:r w:rsidRPr="0024428B">
              <w:rPr>
                <w:position w:val="-24"/>
                <w:sz w:val="24"/>
                <w:szCs w:val="24"/>
                <w:vertAlign w:val="subscript"/>
              </w:rPr>
              <w:object w:dxaOrig="2980" w:dyaOrig="620">
                <v:shape id="_x0000_i1026" type="#_x0000_t75" style="width:149.45pt;height:31.25pt" o:ole="">
                  <v:imagedata r:id="rId24" o:title=""/>
                </v:shape>
                <o:OLEObject Type="Embed" ProgID="Equation.3" ShapeID="_x0000_i1026" DrawAspect="Content" ObjectID="_1520079481" r:id="rId25"/>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value of </w:t>
            </w:r>
            <w:r w:rsidRPr="00E526F3">
              <w:rPr>
                <w:i/>
                <w:sz w:val="24"/>
                <w:szCs w:val="24"/>
              </w:rPr>
              <w:t>Transfers to Individual Fishers</w:t>
            </w:r>
            <w:r w:rsidRPr="00E526F3">
              <w:rPr>
                <w:sz w:val="24"/>
                <w:szCs w:val="24"/>
              </w:rPr>
              <w:t xml:space="preserve"> (TIF) divided by the value of </w:t>
            </w:r>
            <w:r w:rsidRPr="00E526F3">
              <w:rPr>
                <w:i/>
                <w:sz w:val="24"/>
                <w:szCs w:val="24"/>
              </w:rPr>
              <w:t>Gross Fishing Receipts</w:t>
            </w:r>
            <w:r w:rsidRPr="00E526F3">
              <w:rPr>
                <w:sz w:val="24"/>
                <w:szCs w:val="24"/>
              </w:rPr>
              <w:t xml:space="preserve"> (GFR). </w:t>
            </w:r>
            <w:r w:rsidRPr="00E526F3">
              <w:rPr>
                <w:i/>
                <w:sz w:val="24"/>
                <w:szCs w:val="24"/>
              </w:rPr>
              <w:t>Gross Fishing Receipts</w:t>
            </w:r>
            <w:r w:rsidRPr="00E526F3">
              <w:rPr>
                <w:sz w:val="24"/>
                <w:szCs w:val="24"/>
              </w:rPr>
              <w:t xml:space="preserve"> (GFR) is calculated as </w:t>
            </w:r>
            <w:r w:rsidRPr="0024428B">
              <w:rPr>
                <w:i/>
                <w:sz w:val="24"/>
                <w:szCs w:val="24"/>
              </w:rPr>
              <w:t>Value of</w:t>
            </w:r>
            <w:r>
              <w:rPr>
                <w:sz w:val="24"/>
                <w:szCs w:val="24"/>
              </w:rPr>
              <w:t xml:space="preserve"> </w:t>
            </w:r>
            <w:r w:rsidRPr="00E526F3">
              <w:rPr>
                <w:i/>
                <w:sz w:val="24"/>
                <w:szCs w:val="24"/>
              </w:rPr>
              <w:t>Total Landing</w:t>
            </w:r>
            <w:r w:rsidRPr="00E526F3">
              <w:rPr>
                <w:sz w:val="24"/>
                <w:szCs w:val="24"/>
              </w:rPr>
              <w:t xml:space="preserve"> (</w:t>
            </w:r>
            <w:r>
              <w:rPr>
                <w:sz w:val="24"/>
                <w:szCs w:val="24"/>
              </w:rPr>
              <w:t>V</w:t>
            </w:r>
            <w:r w:rsidRPr="00E526F3">
              <w:rPr>
                <w:sz w:val="24"/>
                <w:szCs w:val="24"/>
              </w:rPr>
              <w:t xml:space="preserve">L) + </w:t>
            </w:r>
            <w:r w:rsidRPr="00E526F3">
              <w:rPr>
                <w:i/>
                <w:sz w:val="24"/>
                <w:szCs w:val="24"/>
              </w:rPr>
              <w:t>Transfers to Individual Fishers</w:t>
            </w:r>
            <w:r w:rsidRPr="00E526F3">
              <w:rPr>
                <w:sz w:val="24"/>
                <w:szCs w:val="24"/>
              </w:rPr>
              <w:t xml:space="preserve"> (TIF).</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i/>
                <w:sz w:val="24"/>
                <w:szCs w:val="24"/>
              </w:rPr>
            </w:pPr>
            <w:r w:rsidRPr="00E526F3">
              <w:rPr>
                <w:i/>
                <w:sz w:val="24"/>
                <w:szCs w:val="24"/>
              </w:rPr>
              <w:t xml:space="preserve">Purpose: </w:t>
            </w:r>
            <w:r w:rsidRPr="00E526F3">
              <w:rPr>
                <w:sz w:val="24"/>
                <w:szCs w:val="24"/>
              </w:rPr>
              <w:t xml:space="preserve">It shows the share of gross receipts from fishing represented by the support provided to individual fishers, </w:t>
            </w:r>
            <w:r w:rsidRPr="00E526F3">
              <w:rPr>
                <w:i/>
                <w:sz w:val="24"/>
                <w:szCs w:val="24"/>
              </w:rPr>
              <w:t xml:space="preserve">i.e. </w:t>
            </w:r>
            <w:r w:rsidRPr="00E526F3">
              <w:rPr>
                <w:sz w:val="24"/>
                <w:szCs w:val="24"/>
              </w:rPr>
              <w:t>how much fishing revenues are supported by the government.</w:t>
            </w:r>
          </w:p>
        </w:tc>
      </w:tr>
      <w:tr w:rsidR="000D5306" w:rsidRPr="00E526F3" w:rsidTr="00F421ED">
        <w:tc>
          <w:tcPr>
            <w:tcW w:w="9242" w:type="dxa"/>
            <w:gridSpan w:val="3"/>
            <w:vAlign w:val="center"/>
          </w:tcPr>
          <w:p w:rsidR="000D5306" w:rsidRPr="00E526F3" w:rsidRDefault="000D5306" w:rsidP="00F421ED">
            <w:pPr>
              <w:spacing w:after="120"/>
              <w:rPr>
                <w:i/>
                <w:noProof/>
                <w:sz w:val="24"/>
                <w:szCs w:val="24"/>
                <w:lang w:eastAsia="en-GB"/>
              </w:rPr>
            </w:pPr>
          </w:p>
          <w:p w:rsidR="000D5306" w:rsidRPr="00E526F3" w:rsidRDefault="00F421ED" w:rsidP="00F421ED">
            <w:pPr>
              <w:jc w:val="center"/>
              <w:rPr>
                <w:i/>
                <w:sz w:val="24"/>
                <w:szCs w:val="24"/>
              </w:rPr>
            </w:pPr>
            <w:r>
              <w:rPr>
                <w:noProof/>
                <w:lang w:eastAsia="en-GB"/>
              </w:rPr>
              <w:drawing>
                <wp:inline distT="0" distB="0" distL="0" distR="0" wp14:anchorId="2E0B6467" wp14:editId="0617844F">
                  <wp:extent cx="5760000" cy="3651594"/>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0D5306" w:rsidRPr="00E526F3" w:rsidRDefault="000D5306" w:rsidP="00F421ED">
            <w:pPr>
              <w:rPr>
                <w:i/>
                <w:sz w:val="24"/>
                <w:szCs w:val="24"/>
              </w:rPr>
            </w:pP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68"/>
        <w:gridCol w:w="4776"/>
      </w:tblGrid>
      <w:tr w:rsidR="000D5306" w:rsidRPr="00E526F3" w:rsidTr="00F421ED">
        <w:tc>
          <w:tcPr>
            <w:tcW w:w="9242" w:type="dxa"/>
            <w:gridSpan w:val="3"/>
            <w:vAlign w:val="center"/>
          </w:tcPr>
          <w:p w:rsidR="000D5306" w:rsidRPr="00E526F3" w:rsidRDefault="000D5306" w:rsidP="00F421ED">
            <w:pPr>
              <w:jc w:val="center"/>
              <w:rPr>
                <w:sz w:val="24"/>
                <w:szCs w:val="24"/>
              </w:rPr>
            </w:pPr>
            <w:r w:rsidRPr="00E526F3">
              <w:rPr>
                <w:b/>
                <w:sz w:val="24"/>
                <w:szCs w:val="24"/>
              </w:rPr>
              <w:lastRenderedPageBreak/>
              <w:t>TIF as a share of FSE (X_TIF_FSE)</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794" w:type="dxa"/>
            <w:vAlign w:val="center"/>
          </w:tcPr>
          <w:p w:rsidR="000D5306" w:rsidRPr="00E526F3" w:rsidRDefault="000D5306" w:rsidP="00F421ED">
            <w:pPr>
              <w:jc w:val="right"/>
              <w:rPr>
                <w:i/>
                <w:sz w:val="24"/>
                <w:szCs w:val="24"/>
              </w:rPr>
            </w:pPr>
            <w:r w:rsidRPr="00E526F3">
              <w:rPr>
                <w:i/>
                <w:sz w:val="24"/>
                <w:szCs w:val="24"/>
              </w:rPr>
              <w:t>Formula:</w:t>
            </w:r>
          </w:p>
        </w:tc>
        <w:tc>
          <w:tcPr>
            <w:tcW w:w="5448" w:type="dxa"/>
            <w:gridSpan w:val="2"/>
            <w:vAlign w:val="center"/>
          </w:tcPr>
          <w:p w:rsidR="000D5306" w:rsidRPr="00E526F3" w:rsidRDefault="000D5306" w:rsidP="00F421ED">
            <w:pPr>
              <w:rPr>
                <w:i/>
                <w:sz w:val="24"/>
                <w:szCs w:val="24"/>
              </w:rPr>
            </w:pPr>
            <w:r w:rsidRPr="00E526F3">
              <w:rPr>
                <w:position w:val="-24"/>
                <w:sz w:val="24"/>
                <w:szCs w:val="24"/>
              </w:rPr>
              <w:object w:dxaOrig="2520" w:dyaOrig="620">
                <v:shape id="_x0000_i1027" type="#_x0000_t75" style="width:128.4pt;height:29.9pt" o:ole="">
                  <v:imagedata r:id="rId27" o:title=""/>
                </v:shape>
                <o:OLEObject Type="Embed" ProgID="Equation.3" ShapeID="_x0000_i1027" DrawAspect="Content" ObjectID="_1520079482" r:id="rId28"/>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percentage of total support (FSE) provided to individual fishers (TIF).</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It provides a measure of the share of total government transfers addressed to individual fishers.</w:t>
            </w:r>
            <w:r>
              <w:rPr>
                <w:sz w:val="24"/>
                <w:szCs w:val="24"/>
              </w:rPr>
              <w:t xml:space="preserve"> High values are in some cases due to under-reporting of GSSE policies.</w:t>
            </w:r>
          </w:p>
        </w:tc>
      </w:tr>
      <w:tr w:rsidR="000D5306" w:rsidRPr="00E526F3" w:rsidTr="00F421ED">
        <w:tc>
          <w:tcPr>
            <w:tcW w:w="9242" w:type="dxa"/>
            <w:gridSpan w:val="3"/>
          </w:tcPr>
          <w:p w:rsidR="000D5306" w:rsidRPr="00E526F3" w:rsidRDefault="000D5306" w:rsidP="00F421ED">
            <w:pPr>
              <w:spacing w:after="120"/>
              <w:rPr>
                <w:i/>
                <w:noProof/>
                <w:sz w:val="24"/>
                <w:szCs w:val="24"/>
                <w:lang w:eastAsia="en-GB"/>
              </w:rPr>
            </w:pPr>
          </w:p>
          <w:p w:rsidR="000D5306" w:rsidRPr="00E526F3" w:rsidRDefault="00F421ED" w:rsidP="00F421ED">
            <w:pPr>
              <w:spacing w:after="120"/>
              <w:jc w:val="center"/>
              <w:rPr>
                <w:i/>
                <w:noProof/>
                <w:sz w:val="24"/>
                <w:szCs w:val="24"/>
                <w:lang w:eastAsia="en-GB"/>
              </w:rPr>
            </w:pPr>
            <w:r>
              <w:rPr>
                <w:noProof/>
                <w:lang w:eastAsia="en-GB"/>
              </w:rPr>
              <w:drawing>
                <wp:inline distT="0" distB="0" distL="0" distR="0" wp14:anchorId="6238FCF6" wp14:editId="3F4D448E">
                  <wp:extent cx="5760000" cy="3600000"/>
                  <wp:effectExtent l="0" t="0" r="0" b="6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1624"/>
        <w:gridCol w:w="4675"/>
      </w:tblGrid>
      <w:tr w:rsidR="000D5306" w:rsidRPr="00E526F3" w:rsidTr="00F421ED">
        <w:tc>
          <w:tcPr>
            <w:tcW w:w="9242" w:type="dxa"/>
            <w:gridSpan w:val="3"/>
            <w:vAlign w:val="center"/>
          </w:tcPr>
          <w:p w:rsidR="000D5306" w:rsidRPr="00E526F3" w:rsidRDefault="000D5306" w:rsidP="00F421ED">
            <w:pPr>
              <w:jc w:val="center"/>
              <w:rPr>
                <w:sz w:val="24"/>
                <w:szCs w:val="24"/>
              </w:rPr>
            </w:pPr>
            <w:r w:rsidRPr="00E526F3">
              <w:rPr>
                <w:b/>
                <w:sz w:val="24"/>
                <w:szCs w:val="24"/>
              </w:rPr>
              <w:lastRenderedPageBreak/>
              <w:t>GSSE as a share of FSE (X_GSSE_FSE)</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227" w:type="dxa"/>
            <w:vAlign w:val="center"/>
          </w:tcPr>
          <w:p w:rsidR="000D5306" w:rsidRPr="00E526F3" w:rsidRDefault="000D5306" w:rsidP="00F421ED">
            <w:pPr>
              <w:jc w:val="right"/>
              <w:rPr>
                <w:i/>
                <w:sz w:val="24"/>
                <w:szCs w:val="24"/>
              </w:rPr>
            </w:pPr>
            <w:r w:rsidRPr="00E526F3">
              <w:rPr>
                <w:i/>
                <w:sz w:val="24"/>
                <w:szCs w:val="24"/>
              </w:rPr>
              <w:t>Formula:</w:t>
            </w:r>
          </w:p>
        </w:tc>
        <w:tc>
          <w:tcPr>
            <w:tcW w:w="6015" w:type="dxa"/>
            <w:gridSpan w:val="2"/>
            <w:vAlign w:val="center"/>
          </w:tcPr>
          <w:p w:rsidR="000D5306" w:rsidRPr="00E526F3" w:rsidRDefault="000D5306" w:rsidP="00F421ED">
            <w:pPr>
              <w:rPr>
                <w:i/>
                <w:sz w:val="24"/>
                <w:szCs w:val="24"/>
              </w:rPr>
            </w:pPr>
            <w:r w:rsidRPr="00E526F3">
              <w:rPr>
                <w:position w:val="-24"/>
                <w:sz w:val="24"/>
                <w:szCs w:val="24"/>
              </w:rPr>
              <w:object w:dxaOrig="3420" w:dyaOrig="620">
                <v:shape id="_x0000_i1028" type="#_x0000_t75" style="width:173.9pt;height:29.9pt" o:ole="">
                  <v:imagedata r:id="rId30" o:title=""/>
                </v:shape>
                <o:OLEObject Type="Embed" ProgID="Equation.3" ShapeID="_x0000_i1028" DrawAspect="Content" ObjectID="_1520079483" r:id="rId31"/>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percentage of total support (FSE) providing services to fisheries generally (GSSE), and including policies for which fishers are the main beneficiaries. GSSE is calculated Net, </w:t>
            </w:r>
            <w:r w:rsidRPr="00E526F3">
              <w:rPr>
                <w:i/>
                <w:sz w:val="24"/>
                <w:szCs w:val="24"/>
              </w:rPr>
              <w:t>i.e.</w:t>
            </w:r>
            <w:r w:rsidRPr="00E526F3">
              <w:rPr>
                <w:sz w:val="24"/>
                <w:szCs w:val="24"/>
              </w:rPr>
              <w:t xml:space="preserve"> excluding the part of the cost covered by fishers (CR).</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It provides a measure of the share of suppor</w:t>
            </w:r>
            <w:r>
              <w:rPr>
                <w:sz w:val="24"/>
                <w:szCs w:val="24"/>
              </w:rPr>
              <w:t>t addressed to the whole sector such as management, monitoring control and surveillance</w:t>
            </w:r>
            <w:r w:rsidRPr="00E526F3">
              <w:rPr>
                <w:sz w:val="24"/>
                <w:szCs w:val="24"/>
              </w:rPr>
              <w:t>.</w:t>
            </w:r>
          </w:p>
        </w:tc>
      </w:tr>
      <w:tr w:rsidR="000D5306" w:rsidRPr="00E526F3" w:rsidTr="00F421ED">
        <w:tc>
          <w:tcPr>
            <w:tcW w:w="9242" w:type="dxa"/>
            <w:gridSpan w:val="3"/>
          </w:tcPr>
          <w:p w:rsidR="000D5306" w:rsidRPr="00E526F3" w:rsidRDefault="000D5306" w:rsidP="00F421ED">
            <w:pPr>
              <w:spacing w:after="120"/>
              <w:rPr>
                <w:i/>
                <w:noProof/>
                <w:sz w:val="24"/>
                <w:szCs w:val="24"/>
                <w:lang w:eastAsia="en-GB"/>
              </w:rPr>
            </w:pPr>
          </w:p>
          <w:p w:rsidR="000D5306" w:rsidRPr="00E526F3" w:rsidRDefault="00F421ED" w:rsidP="00F421ED">
            <w:pPr>
              <w:spacing w:after="120"/>
              <w:jc w:val="center"/>
              <w:rPr>
                <w:i/>
                <w:noProof/>
                <w:sz w:val="24"/>
                <w:szCs w:val="24"/>
                <w:lang w:eastAsia="en-GB"/>
              </w:rPr>
            </w:pPr>
            <w:r>
              <w:rPr>
                <w:noProof/>
                <w:lang w:eastAsia="en-GB"/>
              </w:rPr>
              <w:drawing>
                <wp:inline distT="0" distB="0" distL="0" distR="0" wp14:anchorId="72454F9D" wp14:editId="350F6B58">
                  <wp:extent cx="5760000" cy="3600000"/>
                  <wp:effectExtent l="0" t="0" r="0" b="63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35"/>
        <w:gridCol w:w="4740"/>
      </w:tblGrid>
      <w:tr w:rsidR="000D5306" w:rsidRPr="00E526F3" w:rsidTr="00F421ED">
        <w:tc>
          <w:tcPr>
            <w:tcW w:w="9242" w:type="dxa"/>
            <w:gridSpan w:val="3"/>
            <w:vAlign w:val="center"/>
          </w:tcPr>
          <w:p w:rsidR="000D5306" w:rsidRPr="00E526F3" w:rsidRDefault="000D5306" w:rsidP="00F421ED">
            <w:pPr>
              <w:jc w:val="center"/>
              <w:rPr>
                <w:b/>
                <w:sz w:val="24"/>
                <w:szCs w:val="24"/>
              </w:rPr>
            </w:pPr>
            <w:bookmarkStart w:id="370" w:name="_Toc423935824"/>
            <w:r w:rsidRPr="00E526F3">
              <w:rPr>
                <w:b/>
                <w:sz w:val="24"/>
                <w:szCs w:val="24"/>
              </w:rPr>
              <w:lastRenderedPageBreak/>
              <w:t>Cost recovery as a share of GSSE (X_CR_GSSE)</w:t>
            </w:r>
            <w:bookmarkEnd w:id="370"/>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652" w:type="dxa"/>
            <w:vAlign w:val="center"/>
          </w:tcPr>
          <w:p w:rsidR="000D5306" w:rsidRPr="00E526F3" w:rsidRDefault="000D5306" w:rsidP="00F421ED">
            <w:pPr>
              <w:jc w:val="right"/>
              <w:rPr>
                <w:i/>
                <w:sz w:val="24"/>
                <w:szCs w:val="24"/>
              </w:rPr>
            </w:pPr>
            <w:r w:rsidRPr="00E526F3">
              <w:rPr>
                <w:i/>
                <w:sz w:val="24"/>
                <w:szCs w:val="24"/>
              </w:rPr>
              <w:t>Formula:</w:t>
            </w:r>
          </w:p>
        </w:tc>
        <w:tc>
          <w:tcPr>
            <w:tcW w:w="5590" w:type="dxa"/>
            <w:gridSpan w:val="2"/>
            <w:vAlign w:val="center"/>
          </w:tcPr>
          <w:p w:rsidR="000D5306" w:rsidRPr="00E526F3" w:rsidRDefault="000D5306" w:rsidP="00F421ED">
            <w:pPr>
              <w:rPr>
                <w:i/>
                <w:sz w:val="24"/>
                <w:szCs w:val="24"/>
              </w:rPr>
            </w:pPr>
            <w:r w:rsidRPr="00E526F3">
              <w:rPr>
                <w:position w:val="-24"/>
                <w:sz w:val="24"/>
                <w:szCs w:val="24"/>
              </w:rPr>
              <w:object w:dxaOrig="2799" w:dyaOrig="620">
                <v:shape id="_x0000_i1029" type="#_x0000_t75" style="width:139.9pt;height:29.9pt" o:ole="">
                  <v:imagedata r:id="rId33" o:title=""/>
                </v:shape>
                <o:OLEObject Type="Embed" ProgID="Equation.3" ShapeID="_x0000_i1029" DrawAspect="Content" ObjectID="_1520079484" r:id="rId34"/>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value of cost covered or funded by fishers (CR) divided by the value government expenditure for providing general services (GSSE).</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 xml:space="preserve">This percentage will measure how much of the government expenditure for providing general services is covered or funded by fishers. </w:t>
            </w:r>
            <w:r>
              <w:rPr>
                <w:sz w:val="24"/>
                <w:szCs w:val="24"/>
              </w:rPr>
              <w:t>It can help indicate the extent to which the sector pays for the shared costs of its operation.</w:t>
            </w:r>
            <w:r w:rsidRPr="00E526F3">
              <w:rPr>
                <w:sz w:val="24"/>
                <w:szCs w:val="24"/>
              </w:rPr>
              <w:tab/>
            </w:r>
          </w:p>
        </w:tc>
      </w:tr>
      <w:tr w:rsidR="000D5306" w:rsidRPr="00E526F3" w:rsidTr="00F421ED">
        <w:tc>
          <w:tcPr>
            <w:tcW w:w="9242" w:type="dxa"/>
            <w:gridSpan w:val="3"/>
          </w:tcPr>
          <w:p w:rsidR="000D5306" w:rsidRPr="00E526F3" w:rsidRDefault="000D5306" w:rsidP="00F421ED">
            <w:pPr>
              <w:spacing w:after="120"/>
              <w:rPr>
                <w:i/>
                <w:noProof/>
                <w:sz w:val="24"/>
                <w:szCs w:val="24"/>
                <w:lang w:eastAsia="en-GB"/>
              </w:rPr>
            </w:pPr>
          </w:p>
          <w:p w:rsidR="000D5306" w:rsidRPr="00E526F3" w:rsidRDefault="00F421ED" w:rsidP="00F421ED">
            <w:pPr>
              <w:spacing w:after="120"/>
              <w:jc w:val="center"/>
              <w:rPr>
                <w:i/>
                <w:sz w:val="24"/>
                <w:szCs w:val="24"/>
              </w:rPr>
            </w:pPr>
            <w:r>
              <w:rPr>
                <w:noProof/>
                <w:lang w:eastAsia="en-GB"/>
              </w:rPr>
              <w:drawing>
                <wp:inline distT="0" distB="0" distL="0" distR="0" wp14:anchorId="146E0E7B" wp14:editId="5D2E4DE3">
                  <wp:extent cx="5760000" cy="3600000"/>
                  <wp:effectExtent l="0" t="0" r="0" b="63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972"/>
        <w:gridCol w:w="4757"/>
      </w:tblGrid>
      <w:tr w:rsidR="000D5306" w:rsidRPr="00E526F3" w:rsidTr="00F421ED">
        <w:tc>
          <w:tcPr>
            <w:tcW w:w="9242" w:type="dxa"/>
            <w:gridSpan w:val="3"/>
            <w:vAlign w:val="center"/>
          </w:tcPr>
          <w:p w:rsidR="000D5306" w:rsidRPr="00E526F3" w:rsidRDefault="000D5306" w:rsidP="00F421ED">
            <w:pPr>
              <w:jc w:val="center"/>
              <w:rPr>
                <w:b/>
                <w:sz w:val="24"/>
                <w:szCs w:val="24"/>
              </w:rPr>
            </w:pPr>
            <w:r w:rsidRPr="00E526F3">
              <w:rPr>
                <w:b/>
                <w:sz w:val="24"/>
                <w:szCs w:val="24"/>
              </w:rPr>
              <w:lastRenderedPageBreak/>
              <w:t>FSE as a share of VOP (X_FSE_VOP)</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794" w:type="dxa"/>
            <w:vAlign w:val="center"/>
          </w:tcPr>
          <w:p w:rsidR="000D5306" w:rsidRPr="00E526F3" w:rsidRDefault="000D5306" w:rsidP="00F421ED">
            <w:pPr>
              <w:jc w:val="right"/>
              <w:rPr>
                <w:i/>
                <w:sz w:val="24"/>
                <w:szCs w:val="24"/>
              </w:rPr>
            </w:pPr>
            <w:r w:rsidRPr="00E526F3">
              <w:rPr>
                <w:i/>
                <w:sz w:val="24"/>
                <w:szCs w:val="24"/>
              </w:rPr>
              <w:t>Formula:</w:t>
            </w:r>
          </w:p>
        </w:tc>
        <w:tc>
          <w:tcPr>
            <w:tcW w:w="5448" w:type="dxa"/>
            <w:gridSpan w:val="2"/>
            <w:vAlign w:val="center"/>
          </w:tcPr>
          <w:p w:rsidR="000D5306" w:rsidRPr="00E526F3" w:rsidRDefault="000D5306" w:rsidP="00F421ED">
            <w:pPr>
              <w:rPr>
                <w:i/>
                <w:sz w:val="24"/>
                <w:szCs w:val="24"/>
              </w:rPr>
            </w:pPr>
            <w:r w:rsidRPr="00E526F3">
              <w:rPr>
                <w:position w:val="-24"/>
                <w:sz w:val="24"/>
                <w:szCs w:val="24"/>
              </w:rPr>
              <w:object w:dxaOrig="2620" w:dyaOrig="620">
                <v:shape id="_x0000_i1030" type="#_x0000_t75" style="width:130.4pt;height:29.9pt" o:ole="">
                  <v:imagedata r:id="rId36" o:title=""/>
                </v:shape>
                <o:OLEObject Type="Embed" ProgID="Equation.3" ShapeID="_x0000_i1030" DrawAspect="Content" ObjectID="_1520079485" r:id="rId37"/>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annual monetary value of transfers to individual fishers or collectively (FSE) as a percentage of the fisheries </w:t>
            </w:r>
            <w:r w:rsidRPr="00E526F3">
              <w:rPr>
                <w:i/>
                <w:sz w:val="24"/>
                <w:szCs w:val="24"/>
              </w:rPr>
              <w:t>Value of Total Landing</w:t>
            </w:r>
            <w:r w:rsidRPr="00E526F3">
              <w:rPr>
                <w:sz w:val="24"/>
                <w:szCs w:val="24"/>
              </w:rPr>
              <w:t xml:space="preserve"> (TL).</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Pr>
                <w:sz w:val="24"/>
                <w:szCs w:val="24"/>
              </w:rPr>
              <w:t>It measures the scale of policy effort relative to the size of the sector</w:t>
            </w:r>
            <w:r w:rsidRPr="00E526F3">
              <w:rPr>
                <w:sz w:val="24"/>
                <w:szCs w:val="24"/>
              </w:rPr>
              <w:t>.</w:t>
            </w:r>
            <w:r>
              <w:rPr>
                <w:sz w:val="24"/>
                <w:szCs w:val="24"/>
              </w:rPr>
              <w:t xml:space="preserve"> Smaller countries will have higher values when there is a fixed or minimum cost component of fisheries management.</w:t>
            </w:r>
          </w:p>
        </w:tc>
      </w:tr>
      <w:tr w:rsidR="000D5306" w:rsidRPr="00E526F3" w:rsidTr="00F421ED">
        <w:tc>
          <w:tcPr>
            <w:tcW w:w="9242" w:type="dxa"/>
            <w:gridSpan w:val="3"/>
          </w:tcPr>
          <w:p w:rsidR="000D5306" w:rsidRPr="00E526F3" w:rsidRDefault="000D5306" w:rsidP="00F421ED">
            <w:pPr>
              <w:spacing w:after="120"/>
              <w:rPr>
                <w:i/>
                <w:sz w:val="24"/>
                <w:szCs w:val="24"/>
              </w:rPr>
            </w:pPr>
          </w:p>
          <w:p w:rsidR="000D5306" w:rsidRPr="00E526F3" w:rsidRDefault="00F421ED" w:rsidP="00F421ED">
            <w:pPr>
              <w:spacing w:after="120"/>
              <w:jc w:val="center"/>
              <w:rPr>
                <w:i/>
                <w:sz w:val="24"/>
                <w:szCs w:val="24"/>
              </w:rPr>
            </w:pPr>
            <w:r>
              <w:rPr>
                <w:noProof/>
                <w:lang w:eastAsia="en-GB"/>
              </w:rPr>
              <w:drawing>
                <wp:inline distT="0" distB="0" distL="0" distR="0" wp14:anchorId="34FED65E" wp14:editId="2F729543">
                  <wp:extent cx="5760000" cy="36004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685"/>
        <w:gridCol w:w="4621"/>
      </w:tblGrid>
      <w:tr w:rsidR="000D5306" w:rsidRPr="00E526F3" w:rsidTr="00F421ED">
        <w:tc>
          <w:tcPr>
            <w:tcW w:w="9242" w:type="dxa"/>
            <w:gridSpan w:val="3"/>
            <w:vAlign w:val="center"/>
          </w:tcPr>
          <w:p w:rsidR="000D5306" w:rsidRPr="00E526F3" w:rsidRDefault="000D5306" w:rsidP="00F421ED">
            <w:pPr>
              <w:jc w:val="center"/>
              <w:rPr>
                <w:b/>
                <w:sz w:val="24"/>
                <w:szCs w:val="24"/>
              </w:rPr>
            </w:pPr>
            <w:r w:rsidRPr="00E526F3">
              <w:rPr>
                <w:b/>
                <w:sz w:val="24"/>
                <w:szCs w:val="24"/>
              </w:rPr>
              <w:lastRenderedPageBreak/>
              <w:t>Support to fishing costs as a share of TIF (X_FC_TIF)</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936" w:type="dxa"/>
            <w:vAlign w:val="center"/>
          </w:tcPr>
          <w:p w:rsidR="000D5306" w:rsidRPr="00E526F3" w:rsidRDefault="000D5306" w:rsidP="00F421ED">
            <w:pPr>
              <w:jc w:val="right"/>
              <w:rPr>
                <w:i/>
                <w:sz w:val="24"/>
                <w:szCs w:val="24"/>
              </w:rPr>
            </w:pPr>
            <w:r w:rsidRPr="00E526F3">
              <w:rPr>
                <w:i/>
                <w:sz w:val="24"/>
                <w:szCs w:val="24"/>
              </w:rPr>
              <w:t>Formula:</w:t>
            </w:r>
          </w:p>
        </w:tc>
        <w:tc>
          <w:tcPr>
            <w:tcW w:w="5306" w:type="dxa"/>
            <w:gridSpan w:val="2"/>
            <w:vAlign w:val="center"/>
          </w:tcPr>
          <w:p w:rsidR="000D5306" w:rsidRPr="00E526F3" w:rsidRDefault="000D5306" w:rsidP="00F421ED">
            <w:pPr>
              <w:rPr>
                <w:i/>
                <w:sz w:val="24"/>
                <w:szCs w:val="24"/>
              </w:rPr>
            </w:pPr>
            <w:r w:rsidRPr="00E526F3">
              <w:rPr>
                <w:position w:val="-24"/>
                <w:sz w:val="24"/>
                <w:szCs w:val="24"/>
              </w:rPr>
              <w:object w:dxaOrig="2659" w:dyaOrig="680">
                <v:shape id="_x0000_i1031" type="#_x0000_t75" style="width:134.5pt;height:33.3pt" o:ole="">
                  <v:imagedata r:id="rId39" o:title=""/>
                </v:shape>
                <o:OLEObject Type="Embed" ProgID="Equation.3" ShapeID="_x0000_i1031" DrawAspect="Content" ObjectID="_1520079486" r:id="rId40"/>
              </w:object>
            </w:r>
          </w:p>
        </w:tc>
      </w:tr>
      <w:tr w:rsidR="000D5306" w:rsidRPr="00E526F3" w:rsidTr="00F421ED">
        <w:tc>
          <w:tcPr>
            <w:tcW w:w="9242" w:type="dxa"/>
            <w:gridSpan w:val="3"/>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sz w:val="24"/>
                <w:szCs w:val="24"/>
              </w:rPr>
            </w:pPr>
            <w:r w:rsidRPr="00E526F3">
              <w:rPr>
                <w:i/>
                <w:sz w:val="24"/>
                <w:szCs w:val="24"/>
              </w:rPr>
              <w:t>Description:</w:t>
            </w:r>
            <w:r w:rsidRPr="00E526F3">
              <w:rPr>
                <w:sz w:val="24"/>
                <w:szCs w:val="24"/>
              </w:rPr>
              <w:t xml:space="preserve"> The value of all the individual policies categorised under </w:t>
            </w:r>
            <w:r w:rsidRPr="00E526F3">
              <w:rPr>
                <w:i/>
                <w:sz w:val="24"/>
                <w:szCs w:val="24"/>
              </w:rPr>
              <w:t>Transfers based on variable input use</w:t>
            </w:r>
            <w:r w:rsidRPr="00E526F3">
              <w:rPr>
                <w:sz w:val="24"/>
                <w:szCs w:val="24"/>
              </w:rPr>
              <w:t xml:space="preserve"> (FC) divided by the value of </w:t>
            </w:r>
            <w:r w:rsidRPr="00E526F3">
              <w:rPr>
                <w:i/>
                <w:sz w:val="24"/>
                <w:szCs w:val="24"/>
              </w:rPr>
              <w:t>Transfers to Individual Fishers</w:t>
            </w:r>
            <w:r w:rsidRPr="00E526F3">
              <w:rPr>
                <w:sz w:val="24"/>
                <w:szCs w:val="24"/>
              </w:rPr>
              <w:t xml:space="preserve"> (TIF).</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Support to fishing costs is most closely linked to the potential to increase fishing effort. Understanding the share of support directed to fishers that is of this type is an important indicator of the potential impact of support.</w:t>
            </w:r>
          </w:p>
        </w:tc>
      </w:tr>
      <w:tr w:rsidR="000D5306" w:rsidRPr="00E526F3" w:rsidTr="00F421ED">
        <w:tc>
          <w:tcPr>
            <w:tcW w:w="9242" w:type="dxa"/>
            <w:gridSpan w:val="3"/>
          </w:tcPr>
          <w:p w:rsidR="000D5306" w:rsidRPr="00E526F3" w:rsidRDefault="000D5306" w:rsidP="00F421ED">
            <w:pPr>
              <w:rPr>
                <w:i/>
                <w:sz w:val="24"/>
                <w:szCs w:val="24"/>
              </w:rPr>
            </w:pPr>
          </w:p>
          <w:p w:rsidR="000D5306" w:rsidRPr="00E526F3" w:rsidRDefault="000D5306" w:rsidP="00F421ED">
            <w:pPr>
              <w:rPr>
                <w:i/>
                <w:sz w:val="24"/>
                <w:szCs w:val="24"/>
              </w:rPr>
            </w:pPr>
            <w:r w:rsidRPr="00E526F3">
              <w:rPr>
                <w:i/>
                <w:sz w:val="24"/>
                <w:szCs w:val="24"/>
              </w:rPr>
              <w:t>No chart is available as numbers provided for Transfers based on variable input use - IFINP_VAR (FC) drops to zero once FTCs are excluded.</w:t>
            </w:r>
          </w:p>
          <w:p w:rsidR="000D5306" w:rsidRPr="00E526F3" w:rsidRDefault="000D5306" w:rsidP="00F421ED">
            <w:pPr>
              <w:rPr>
                <w:i/>
                <w:sz w:val="24"/>
                <w:szCs w:val="24"/>
              </w:rPr>
            </w:pP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38"/>
        <w:gridCol w:w="4743"/>
      </w:tblGrid>
      <w:tr w:rsidR="000D5306" w:rsidRPr="00E526F3" w:rsidTr="00F421ED">
        <w:tc>
          <w:tcPr>
            <w:tcW w:w="9242" w:type="dxa"/>
            <w:gridSpan w:val="3"/>
            <w:vAlign w:val="center"/>
          </w:tcPr>
          <w:p w:rsidR="000D5306" w:rsidRPr="00E526F3" w:rsidRDefault="000D5306" w:rsidP="00F421ED">
            <w:pPr>
              <w:jc w:val="center"/>
              <w:rPr>
                <w:b/>
                <w:sz w:val="24"/>
                <w:szCs w:val="24"/>
              </w:rPr>
            </w:pPr>
            <w:r w:rsidRPr="00E526F3">
              <w:rPr>
                <w:b/>
                <w:sz w:val="24"/>
                <w:szCs w:val="24"/>
              </w:rPr>
              <w:lastRenderedPageBreak/>
              <w:t>Transfers for Modernisation as a share of TIF (X_MOD_TIF)</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652" w:type="dxa"/>
            <w:vAlign w:val="center"/>
          </w:tcPr>
          <w:p w:rsidR="000D5306" w:rsidRPr="00E526F3" w:rsidRDefault="000D5306" w:rsidP="00F421ED">
            <w:pPr>
              <w:jc w:val="right"/>
              <w:rPr>
                <w:i/>
                <w:sz w:val="24"/>
                <w:szCs w:val="24"/>
              </w:rPr>
            </w:pPr>
            <w:r w:rsidRPr="00E526F3">
              <w:rPr>
                <w:i/>
                <w:sz w:val="24"/>
                <w:szCs w:val="24"/>
              </w:rPr>
              <w:t>Formula:</w:t>
            </w:r>
          </w:p>
        </w:tc>
        <w:tc>
          <w:tcPr>
            <w:tcW w:w="5590" w:type="dxa"/>
            <w:gridSpan w:val="2"/>
            <w:vAlign w:val="center"/>
          </w:tcPr>
          <w:p w:rsidR="000D5306" w:rsidRPr="00E526F3" w:rsidRDefault="000D5306" w:rsidP="00F421ED">
            <w:pPr>
              <w:rPr>
                <w:i/>
                <w:sz w:val="24"/>
                <w:szCs w:val="24"/>
              </w:rPr>
            </w:pPr>
            <w:r w:rsidRPr="00E526F3">
              <w:rPr>
                <w:position w:val="-24"/>
                <w:sz w:val="24"/>
                <w:szCs w:val="24"/>
              </w:rPr>
              <w:object w:dxaOrig="2780" w:dyaOrig="620">
                <v:shape id="_x0000_i1032" type="#_x0000_t75" style="width:142.65pt;height:29.9pt" o:ole="">
                  <v:imagedata r:id="rId41" o:title=""/>
                </v:shape>
                <o:OLEObject Type="Embed" ProgID="Equation.3" ShapeID="_x0000_i1032" DrawAspect="Content" ObjectID="_1520079487" r:id="rId42"/>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value of all the individual policies categorised under </w:t>
            </w:r>
            <w:r w:rsidRPr="00E526F3">
              <w:rPr>
                <w:i/>
                <w:sz w:val="24"/>
                <w:szCs w:val="24"/>
              </w:rPr>
              <w:t xml:space="preserve">Support to Modernisation </w:t>
            </w:r>
            <w:r w:rsidRPr="00E526F3">
              <w:rPr>
                <w:sz w:val="24"/>
                <w:szCs w:val="24"/>
              </w:rPr>
              <w:t xml:space="preserve">(MOD) as a percentage of the value of </w:t>
            </w:r>
            <w:r w:rsidRPr="00E526F3">
              <w:rPr>
                <w:i/>
                <w:sz w:val="24"/>
                <w:szCs w:val="24"/>
              </w:rPr>
              <w:t>Transfers to Individual Fishers</w:t>
            </w:r>
            <w:r w:rsidRPr="00E526F3">
              <w:rPr>
                <w:sz w:val="24"/>
                <w:szCs w:val="24"/>
              </w:rPr>
              <w:t xml:space="preserve"> (TIF).</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 xml:space="preserve">Modernisation means improvements of </w:t>
            </w:r>
            <w:r>
              <w:rPr>
                <w:i/>
                <w:sz w:val="24"/>
                <w:szCs w:val="24"/>
              </w:rPr>
              <w:t xml:space="preserve">inter alia, </w:t>
            </w:r>
            <w:r w:rsidRPr="00E526F3">
              <w:rPr>
                <w:sz w:val="24"/>
                <w:szCs w:val="24"/>
              </w:rPr>
              <w:t xml:space="preserve">safety on board, working conditions, hygiene, product quality, energy efficiency and selectivity. This indicator shows </w:t>
            </w:r>
            <w:r>
              <w:rPr>
                <w:sz w:val="24"/>
                <w:szCs w:val="24"/>
              </w:rPr>
              <w:t>the share</w:t>
            </w:r>
            <w:r w:rsidRPr="00E526F3">
              <w:rPr>
                <w:sz w:val="24"/>
                <w:szCs w:val="24"/>
              </w:rPr>
              <w:t xml:space="preserve"> of transfers to individual fishers </w:t>
            </w:r>
            <w:r>
              <w:rPr>
                <w:sz w:val="24"/>
                <w:szCs w:val="24"/>
              </w:rPr>
              <w:t>that</w:t>
            </w:r>
            <w:r w:rsidRPr="00E526F3">
              <w:rPr>
                <w:sz w:val="24"/>
                <w:szCs w:val="24"/>
              </w:rPr>
              <w:t xml:space="preserve"> support</w:t>
            </w:r>
            <w:r>
              <w:rPr>
                <w:sz w:val="24"/>
                <w:szCs w:val="24"/>
              </w:rPr>
              <w:t>s</w:t>
            </w:r>
            <w:r w:rsidRPr="00E526F3">
              <w:rPr>
                <w:sz w:val="24"/>
                <w:szCs w:val="24"/>
              </w:rPr>
              <w:t xml:space="preserve"> modernisation.</w:t>
            </w:r>
          </w:p>
        </w:tc>
      </w:tr>
      <w:tr w:rsidR="000D5306" w:rsidRPr="00E526F3" w:rsidTr="00F421ED">
        <w:tc>
          <w:tcPr>
            <w:tcW w:w="9242" w:type="dxa"/>
            <w:gridSpan w:val="3"/>
          </w:tcPr>
          <w:p w:rsidR="000D5306" w:rsidRPr="00E526F3" w:rsidRDefault="000D5306" w:rsidP="00F421ED">
            <w:pPr>
              <w:spacing w:after="120"/>
              <w:rPr>
                <w:i/>
                <w:sz w:val="24"/>
                <w:szCs w:val="24"/>
              </w:rPr>
            </w:pPr>
          </w:p>
          <w:p w:rsidR="000D5306" w:rsidRPr="00E526F3" w:rsidRDefault="00F421ED" w:rsidP="00F421ED">
            <w:pPr>
              <w:spacing w:after="120"/>
              <w:jc w:val="center"/>
              <w:rPr>
                <w:i/>
                <w:sz w:val="24"/>
                <w:szCs w:val="24"/>
              </w:rPr>
            </w:pPr>
            <w:r>
              <w:rPr>
                <w:noProof/>
                <w:lang w:eastAsia="en-GB"/>
              </w:rPr>
              <w:drawing>
                <wp:inline distT="0" distB="0" distL="0" distR="0" wp14:anchorId="633A9F80" wp14:editId="5B05E171">
                  <wp:extent cx="5760000" cy="3600450"/>
                  <wp:effectExtent l="0" t="0" r="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1296"/>
        <w:gridCol w:w="4698"/>
      </w:tblGrid>
      <w:tr w:rsidR="000D5306" w:rsidRPr="00E526F3" w:rsidTr="00F421ED">
        <w:tc>
          <w:tcPr>
            <w:tcW w:w="9242" w:type="dxa"/>
            <w:gridSpan w:val="3"/>
          </w:tcPr>
          <w:p w:rsidR="000D5306" w:rsidRPr="00E526F3" w:rsidRDefault="000D5306" w:rsidP="00F421ED">
            <w:pPr>
              <w:jc w:val="center"/>
              <w:rPr>
                <w:b/>
                <w:sz w:val="24"/>
                <w:szCs w:val="24"/>
              </w:rPr>
            </w:pPr>
            <w:r w:rsidRPr="00E526F3">
              <w:rPr>
                <w:b/>
                <w:sz w:val="24"/>
                <w:szCs w:val="24"/>
              </w:rPr>
              <w:lastRenderedPageBreak/>
              <w:t>Management of resources as a share of GSSE (X_RES_GSSE)</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510" w:type="dxa"/>
            <w:vAlign w:val="center"/>
          </w:tcPr>
          <w:p w:rsidR="000D5306" w:rsidRPr="00E526F3" w:rsidRDefault="000D5306" w:rsidP="00F421ED">
            <w:pPr>
              <w:jc w:val="right"/>
              <w:rPr>
                <w:i/>
                <w:sz w:val="24"/>
                <w:szCs w:val="24"/>
              </w:rPr>
            </w:pPr>
            <w:r w:rsidRPr="00E526F3">
              <w:rPr>
                <w:i/>
                <w:sz w:val="24"/>
                <w:szCs w:val="24"/>
              </w:rPr>
              <w:t>Formula:</w:t>
            </w:r>
          </w:p>
        </w:tc>
        <w:tc>
          <w:tcPr>
            <w:tcW w:w="5732" w:type="dxa"/>
            <w:gridSpan w:val="2"/>
            <w:vAlign w:val="center"/>
          </w:tcPr>
          <w:p w:rsidR="000D5306" w:rsidRPr="00E526F3" w:rsidRDefault="000D5306" w:rsidP="00F421ED">
            <w:pPr>
              <w:rPr>
                <w:i/>
                <w:sz w:val="24"/>
                <w:szCs w:val="24"/>
              </w:rPr>
            </w:pPr>
            <w:r w:rsidRPr="00E526F3">
              <w:rPr>
                <w:position w:val="-24"/>
                <w:sz w:val="24"/>
                <w:szCs w:val="24"/>
              </w:rPr>
              <w:object w:dxaOrig="2920" w:dyaOrig="620">
                <v:shape id="_x0000_i1033" type="#_x0000_t75" style="width:150.1pt;height:29.9pt" o:ole="">
                  <v:imagedata r:id="rId44" o:title=""/>
                </v:shape>
                <o:OLEObject Type="Embed" ProgID="Equation.3" ShapeID="_x0000_i1033" DrawAspect="Content" ObjectID="_1520079488" r:id="rId45"/>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value of government expenditures for resources’ management, </w:t>
            </w:r>
            <w:r w:rsidRPr="00E526F3">
              <w:rPr>
                <w:i/>
                <w:sz w:val="24"/>
                <w:szCs w:val="24"/>
              </w:rPr>
              <w:t>i.e.</w:t>
            </w:r>
            <w:r w:rsidRPr="00E526F3">
              <w:rPr>
                <w:sz w:val="24"/>
                <w:szCs w:val="24"/>
              </w:rPr>
              <w:t xml:space="preserve"> all policies categorised under</w:t>
            </w:r>
            <w:r w:rsidRPr="00E526F3">
              <w:rPr>
                <w:i/>
                <w:sz w:val="24"/>
                <w:szCs w:val="24"/>
              </w:rPr>
              <w:t xml:space="preserve"> Management of resources </w:t>
            </w:r>
            <w:r w:rsidRPr="00E526F3">
              <w:rPr>
                <w:sz w:val="24"/>
                <w:szCs w:val="24"/>
              </w:rPr>
              <w:t>(RES) divided by the value of government expenditure for providing general services (GSSE).</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It shows the share of the whole sector support oriented in achieving environmentally sustainable fisheries.</w:t>
            </w:r>
          </w:p>
        </w:tc>
      </w:tr>
      <w:tr w:rsidR="000D5306" w:rsidRPr="00E526F3" w:rsidTr="00F421ED">
        <w:tc>
          <w:tcPr>
            <w:tcW w:w="9242" w:type="dxa"/>
            <w:gridSpan w:val="3"/>
          </w:tcPr>
          <w:p w:rsidR="000D5306" w:rsidRPr="00E526F3" w:rsidRDefault="000D5306" w:rsidP="00F421ED">
            <w:pPr>
              <w:spacing w:after="120"/>
              <w:rPr>
                <w:i/>
                <w:sz w:val="24"/>
                <w:szCs w:val="24"/>
              </w:rPr>
            </w:pPr>
          </w:p>
          <w:p w:rsidR="000D5306" w:rsidRPr="00E526F3" w:rsidRDefault="00F421ED" w:rsidP="00F421ED">
            <w:pPr>
              <w:spacing w:after="120"/>
              <w:jc w:val="center"/>
              <w:rPr>
                <w:i/>
                <w:sz w:val="24"/>
                <w:szCs w:val="24"/>
              </w:rPr>
            </w:pPr>
            <w:r>
              <w:rPr>
                <w:noProof/>
                <w:lang w:eastAsia="en-GB"/>
              </w:rPr>
              <w:drawing>
                <wp:inline distT="0" distB="0" distL="0" distR="0" wp14:anchorId="114B78FF" wp14:editId="176D7AD9">
                  <wp:extent cx="5760000" cy="360045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126"/>
        <w:gridCol w:w="4728"/>
      </w:tblGrid>
      <w:tr w:rsidR="000D5306" w:rsidRPr="00E526F3" w:rsidTr="00F421ED">
        <w:tc>
          <w:tcPr>
            <w:tcW w:w="9242" w:type="dxa"/>
            <w:gridSpan w:val="3"/>
            <w:vAlign w:val="center"/>
          </w:tcPr>
          <w:p w:rsidR="000D5306" w:rsidRPr="00E526F3" w:rsidRDefault="000D5306" w:rsidP="00F421ED">
            <w:pPr>
              <w:jc w:val="center"/>
              <w:rPr>
                <w:b/>
                <w:sz w:val="24"/>
                <w:szCs w:val="24"/>
              </w:rPr>
            </w:pPr>
            <w:r w:rsidRPr="00E526F3">
              <w:rPr>
                <w:b/>
                <w:sz w:val="24"/>
                <w:szCs w:val="24"/>
              </w:rPr>
              <w:lastRenderedPageBreak/>
              <w:t>FSE as a share of GDP (X_FSE_GDP)</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652" w:type="dxa"/>
            <w:vAlign w:val="center"/>
          </w:tcPr>
          <w:p w:rsidR="000D5306" w:rsidRPr="00E526F3" w:rsidRDefault="000D5306" w:rsidP="00F421ED">
            <w:pPr>
              <w:jc w:val="right"/>
              <w:rPr>
                <w:i/>
                <w:sz w:val="24"/>
                <w:szCs w:val="24"/>
              </w:rPr>
            </w:pPr>
            <w:r w:rsidRPr="00E526F3">
              <w:rPr>
                <w:i/>
                <w:sz w:val="24"/>
                <w:szCs w:val="24"/>
              </w:rPr>
              <w:t>Formula:</w:t>
            </w:r>
          </w:p>
        </w:tc>
        <w:tc>
          <w:tcPr>
            <w:tcW w:w="5590" w:type="dxa"/>
            <w:gridSpan w:val="2"/>
            <w:vAlign w:val="center"/>
          </w:tcPr>
          <w:p w:rsidR="000D5306" w:rsidRPr="00E526F3" w:rsidRDefault="000D5306" w:rsidP="00F421ED">
            <w:pPr>
              <w:rPr>
                <w:i/>
                <w:sz w:val="24"/>
                <w:szCs w:val="24"/>
              </w:rPr>
            </w:pPr>
            <w:r w:rsidRPr="00E526F3">
              <w:rPr>
                <w:position w:val="-24"/>
                <w:sz w:val="24"/>
                <w:szCs w:val="24"/>
              </w:rPr>
              <w:object w:dxaOrig="2700" w:dyaOrig="620">
                <v:shape id="_x0000_i1034" type="#_x0000_t75" style="width:135.15pt;height:29.9pt" o:ole="">
                  <v:imagedata r:id="rId47" o:title=""/>
                </v:shape>
                <o:OLEObject Type="Embed" ProgID="Equation.3" ShapeID="_x0000_i1034" DrawAspect="Content" ObjectID="_1520079489" r:id="rId48"/>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annual monetary value of transfers to individual fishers or collectively (FSE) scaled using GDP.</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It allows cross country comparisons of total support.</w:t>
            </w:r>
            <w:r>
              <w:rPr>
                <w:sz w:val="24"/>
                <w:szCs w:val="24"/>
              </w:rPr>
              <w:t xml:space="preserve"> Numbers may be too small to be useful.</w:t>
            </w:r>
          </w:p>
        </w:tc>
      </w:tr>
      <w:tr w:rsidR="000D5306" w:rsidRPr="00E526F3" w:rsidTr="00F421ED">
        <w:tc>
          <w:tcPr>
            <w:tcW w:w="9242" w:type="dxa"/>
            <w:gridSpan w:val="3"/>
          </w:tcPr>
          <w:p w:rsidR="000D5306" w:rsidRPr="00E526F3" w:rsidRDefault="000D5306" w:rsidP="00F421ED">
            <w:pPr>
              <w:spacing w:after="120"/>
              <w:rPr>
                <w:i/>
                <w:sz w:val="24"/>
                <w:szCs w:val="24"/>
              </w:rPr>
            </w:pPr>
          </w:p>
          <w:p w:rsidR="000D5306" w:rsidRPr="00E526F3" w:rsidRDefault="00F421ED" w:rsidP="00F421ED">
            <w:pPr>
              <w:spacing w:after="120"/>
              <w:jc w:val="center"/>
              <w:rPr>
                <w:i/>
                <w:sz w:val="24"/>
                <w:szCs w:val="24"/>
              </w:rPr>
            </w:pPr>
            <w:r>
              <w:rPr>
                <w:noProof/>
                <w:lang w:eastAsia="en-GB"/>
              </w:rPr>
              <w:drawing>
                <wp:inline distT="0" distB="0" distL="0" distR="0" wp14:anchorId="301D05BE" wp14:editId="647216E6">
                  <wp:extent cx="5760000" cy="3600450"/>
                  <wp:effectExtent l="0" t="0" r="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1005"/>
        <w:gridCol w:w="4842"/>
      </w:tblGrid>
      <w:tr w:rsidR="000D5306" w:rsidRPr="00E526F3" w:rsidTr="00F421ED">
        <w:tc>
          <w:tcPr>
            <w:tcW w:w="9242" w:type="dxa"/>
            <w:gridSpan w:val="3"/>
            <w:vAlign w:val="center"/>
          </w:tcPr>
          <w:p w:rsidR="000D5306" w:rsidRPr="00E526F3" w:rsidRDefault="000D5306" w:rsidP="00F421ED">
            <w:pPr>
              <w:jc w:val="center"/>
              <w:rPr>
                <w:b/>
                <w:sz w:val="24"/>
                <w:szCs w:val="24"/>
              </w:rPr>
            </w:pPr>
            <w:r w:rsidRPr="00E526F3">
              <w:rPr>
                <w:b/>
                <w:sz w:val="24"/>
                <w:szCs w:val="24"/>
              </w:rPr>
              <w:lastRenderedPageBreak/>
              <w:t>FSE as a share of GSR (X_FSE_GSR)</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3794" w:type="dxa"/>
            <w:vAlign w:val="center"/>
          </w:tcPr>
          <w:p w:rsidR="000D5306" w:rsidRPr="00E526F3" w:rsidRDefault="000D5306" w:rsidP="00F421ED">
            <w:pPr>
              <w:jc w:val="right"/>
              <w:rPr>
                <w:i/>
                <w:sz w:val="24"/>
                <w:szCs w:val="24"/>
              </w:rPr>
            </w:pPr>
            <w:r w:rsidRPr="00E526F3">
              <w:rPr>
                <w:i/>
                <w:sz w:val="24"/>
                <w:szCs w:val="24"/>
              </w:rPr>
              <w:t>Formula:</w:t>
            </w:r>
          </w:p>
        </w:tc>
        <w:tc>
          <w:tcPr>
            <w:tcW w:w="5448" w:type="dxa"/>
            <w:gridSpan w:val="2"/>
            <w:vAlign w:val="center"/>
          </w:tcPr>
          <w:p w:rsidR="000D5306" w:rsidRPr="00E526F3" w:rsidRDefault="000D5306" w:rsidP="00F421ED">
            <w:pPr>
              <w:rPr>
                <w:i/>
                <w:sz w:val="24"/>
                <w:szCs w:val="24"/>
              </w:rPr>
            </w:pPr>
            <w:r w:rsidRPr="00E526F3">
              <w:rPr>
                <w:position w:val="-24"/>
                <w:sz w:val="24"/>
                <w:szCs w:val="24"/>
              </w:rPr>
              <w:object w:dxaOrig="3120" w:dyaOrig="620">
                <v:shape id="_x0000_i1035" type="#_x0000_t75" style="width:152.85pt;height:29.9pt" o:ole="">
                  <v:imagedata r:id="rId50" o:title=""/>
                </v:shape>
                <o:OLEObject Type="Embed" ProgID="Equation.3" ShapeID="_x0000_i1035" DrawAspect="Content" ObjectID="_1520079490" r:id="rId51"/>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annual monetary value of transfers to individual fishers or collectively (FSE) scaled using the total gross revenues of the sector including all forms of support. Total </w:t>
            </w:r>
            <w:r w:rsidRPr="00E526F3">
              <w:rPr>
                <w:i/>
                <w:sz w:val="24"/>
                <w:szCs w:val="24"/>
              </w:rPr>
              <w:t>Gross Sector Revenue</w:t>
            </w:r>
            <w:r w:rsidRPr="00E526F3">
              <w:rPr>
                <w:sz w:val="24"/>
                <w:szCs w:val="24"/>
              </w:rPr>
              <w:t xml:space="preserve"> (GSR) is calculated as </w:t>
            </w:r>
            <w:r w:rsidRPr="0024428B">
              <w:rPr>
                <w:i/>
                <w:sz w:val="24"/>
                <w:szCs w:val="24"/>
              </w:rPr>
              <w:t>Value of</w:t>
            </w:r>
            <w:r>
              <w:rPr>
                <w:sz w:val="24"/>
                <w:szCs w:val="24"/>
              </w:rPr>
              <w:t xml:space="preserve"> </w:t>
            </w:r>
            <w:r w:rsidRPr="00E526F3">
              <w:rPr>
                <w:i/>
                <w:sz w:val="24"/>
                <w:szCs w:val="24"/>
              </w:rPr>
              <w:t>Total Landing</w:t>
            </w:r>
            <w:r>
              <w:rPr>
                <w:sz w:val="24"/>
                <w:szCs w:val="24"/>
              </w:rPr>
              <w:t xml:space="preserve"> (V</w:t>
            </w:r>
            <w:r w:rsidRPr="00E526F3">
              <w:rPr>
                <w:sz w:val="24"/>
                <w:szCs w:val="24"/>
              </w:rPr>
              <w:t>L) +</w:t>
            </w:r>
            <w:r w:rsidRPr="00E526F3">
              <w:rPr>
                <w:i/>
                <w:sz w:val="24"/>
                <w:szCs w:val="24"/>
              </w:rPr>
              <w:t xml:space="preserve"> Fisheries Support Estimates</w:t>
            </w:r>
            <w:r w:rsidRPr="00E526F3">
              <w:rPr>
                <w:sz w:val="24"/>
                <w:szCs w:val="24"/>
              </w:rPr>
              <w:t xml:space="preserve"> (FSE).</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 xml:space="preserve">It shows </w:t>
            </w:r>
            <w:r>
              <w:rPr>
                <w:sz w:val="24"/>
                <w:szCs w:val="24"/>
              </w:rPr>
              <w:t>total support as a share of the gross revenue</w:t>
            </w:r>
            <w:r w:rsidRPr="00E526F3">
              <w:rPr>
                <w:sz w:val="24"/>
                <w:szCs w:val="24"/>
              </w:rPr>
              <w:t xml:space="preserve"> of the sector (including all form of support</w:t>
            </w:r>
            <w:r>
              <w:rPr>
                <w:sz w:val="24"/>
                <w:szCs w:val="24"/>
              </w:rPr>
              <w:t xml:space="preserve"> being defined as revenue</w:t>
            </w:r>
            <w:r w:rsidRPr="00E526F3">
              <w:rPr>
                <w:sz w:val="24"/>
                <w:szCs w:val="24"/>
              </w:rPr>
              <w:t xml:space="preserve">) </w:t>
            </w:r>
          </w:p>
        </w:tc>
      </w:tr>
      <w:tr w:rsidR="000D5306" w:rsidRPr="00E526F3" w:rsidTr="00E5053A">
        <w:tc>
          <w:tcPr>
            <w:tcW w:w="9242" w:type="dxa"/>
            <w:gridSpan w:val="3"/>
          </w:tcPr>
          <w:p w:rsidR="000D5306" w:rsidRPr="00E526F3" w:rsidRDefault="000D5306" w:rsidP="00F421ED">
            <w:pPr>
              <w:spacing w:after="120"/>
              <w:rPr>
                <w:i/>
                <w:sz w:val="24"/>
                <w:szCs w:val="24"/>
              </w:rPr>
            </w:pPr>
          </w:p>
          <w:p w:rsidR="000D5306" w:rsidRPr="00E526F3" w:rsidRDefault="00E5053A" w:rsidP="00F421ED">
            <w:pPr>
              <w:spacing w:after="120"/>
              <w:jc w:val="center"/>
              <w:rPr>
                <w:i/>
                <w:sz w:val="24"/>
                <w:szCs w:val="24"/>
              </w:rPr>
            </w:pPr>
            <w:r>
              <w:rPr>
                <w:noProof/>
                <w:lang w:eastAsia="en-GB"/>
              </w:rPr>
              <w:drawing>
                <wp:inline distT="0" distB="0" distL="0" distR="0" wp14:anchorId="21871398" wp14:editId="56076D28">
                  <wp:extent cx="5760000" cy="3600450"/>
                  <wp:effectExtent l="0" t="0" r="0" b="0"/>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26"/>
        <w:gridCol w:w="4969"/>
      </w:tblGrid>
      <w:tr w:rsidR="000D5306" w:rsidRPr="00E526F3" w:rsidTr="00F421ED">
        <w:tc>
          <w:tcPr>
            <w:tcW w:w="9242" w:type="dxa"/>
            <w:gridSpan w:val="3"/>
            <w:vAlign w:val="center"/>
          </w:tcPr>
          <w:p w:rsidR="000D5306" w:rsidRPr="00E526F3" w:rsidRDefault="000D5306" w:rsidP="00F421ED">
            <w:pPr>
              <w:jc w:val="center"/>
              <w:rPr>
                <w:b/>
                <w:sz w:val="24"/>
                <w:szCs w:val="24"/>
              </w:rPr>
            </w:pPr>
            <w:r w:rsidRPr="00E526F3">
              <w:rPr>
                <w:b/>
                <w:sz w:val="24"/>
                <w:szCs w:val="24"/>
              </w:rPr>
              <w:lastRenderedPageBreak/>
              <w:t>Total Support by Vessel (SPV)</w:t>
            </w:r>
          </w:p>
        </w:tc>
      </w:tr>
      <w:tr w:rsidR="000D5306" w:rsidRPr="00E526F3" w:rsidTr="00F421ED">
        <w:tc>
          <w:tcPr>
            <w:tcW w:w="4077" w:type="dxa"/>
            <w:vAlign w:val="center"/>
          </w:tcPr>
          <w:p w:rsidR="000D5306" w:rsidRPr="00E526F3" w:rsidRDefault="000D5306" w:rsidP="00F421ED">
            <w:pPr>
              <w:rPr>
                <w:i/>
                <w:sz w:val="24"/>
                <w:szCs w:val="24"/>
              </w:rPr>
            </w:pPr>
          </w:p>
        </w:tc>
        <w:tc>
          <w:tcPr>
            <w:tcW w:w="5165" w:type="dxa"/>
            <w:gridSpan w:val="2"/>
            <w:vAlign w:val="center"/>
          </w:tcPr>
          <w:p w:rsidR="000D5306" w:rsidRPr="00E526F3" w:rsidRDefault="000D5306" w:rsidP="00F421ED">
            <w:pPr>
              <w:jc w:val="right"/>
              <w:rPr>
                <w:sz w:val="24"/>
                <w:szCs w:val="24"/>
              </w:rPr>
            </w:pPr>
          </w:p>
        </w:tc>
      </w:tr>
      <w:tr w:rsidR="000D5306" w:rsidRPr="00E526F3" w:rsidTr="00F421ED">
        <w:tc>
          <w:tcPr>
            <w:tcW w:w="4503" w:type="dxa"/>
            <w:gridSpan w:val="2"/>
            <w:vAlign w:val="center"/>
          </w:tcPr>
          <w:p w:rsidR="000D5306" w:rsidRPr="00E526F3" w:rsidRDefault="000D5306" w:rsidP="00F421ED">
            <w:pPr>
              <w:jc w:val="right"/>
              <w:rPr>
                <w:i/>
                <w:sz w:val="24"/>
                <w:szCs w:val="24"/>
              </w:rPr>
            </w:pPr>
            <w:r w:rsidRPr="00E526F3">
              <w:rPr>
                <w:i/>
                <w:sz w:val="24"/>
                <w:szCs w:val="24"/>
              </w:rPr>
              <w:t>Formula:</w:t>
            </w:r>
          </w:p>
        </w:tc>
        <w:tc>
          <w:tcPr>
            <w:tcW w:w="4739" w:type="dxa"/>
            <w:vAlign w:val="center"/>
          </w:tcPr>
          <w:p w:rsidR="000D5306" w:rsidRPr="00E526F3" w:rsidRDefault="000D5306" w:rsidP="00F421ED">
            <w:pPr>
              <w:rPr>
                <w:i/>
                <w:sz w:val="24"/>
                <w:szCs w:val="24"/>
              </w:rPr>
            </w:pPr>
            <w:r w:rsidRPr="00E526F3">
              <w:rPr>
                <w:position w:val="-24"/>
                <w:sz w:val="24"/>
                <w:szCs w:val="24"/>
              </w:rPr>
              <w:object w:dxaOrig="1500" w:dyaOrig="620">
                <v:shape id="_x0000_i1036" type="#_x0000_t75" style="width:76.75pt;height:29.9pt" o:ole="">
                  <v:imagedata r:id="rId53" o:title=""/>
                </v:shape>
                <o:OLEObject Type="Embed" ProgID="Equation.3" ShapeID="_x0000_i1036" DrawAspect="Content" ObjectID="_1520079491" r:id="rId54"/>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annual monetary value of transfers to individual fishers or collectively (FSE) scaled using total number of vessels</w:t>
            </w:r>
            <w:r w:rsidRPr="00E526F3">
              <w:rPr>
                <w:i/>
                <w:sz w:val="24"/>
                <w:szCs w:val="24"/>
              </w:rPr>
              <w:t xml:space="preserve"> (Vessels)</w:t>
            </w:r>
            <w:r w:rsidRPr="00E526F3">
              <w:rPr>
                <w:sz w:val="24"/>
                <w:szCs w:val="24"/>
              </w:rPr>
              <w:t>.</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i/>
                <w:sz w:val="24"/>
                <w:szCs w:val="24"/>
              </w:rPr>
            </w:pPr>
            <w:r w:rsidRPr="00E526F3">
              <w:rPr>
                <w:i/>
                <w:sz w:val="24"/>
                <w:szCs w:val="24"/>
              </w:rPr>
              <w:t xml:space="preserve">Purpose: </w:t>
            </w:r>
            <w:r w:rsidRPr="00E526F3">
              <w:rPr>
                <w:sz w:val="24"/>
                <w:szCs w:val="24"/>
              </w:rPr>
              <w:t>It provides a measure of the intensity of support</w:t>
            </w:r>
            <w:r>
              <w:rPr>
                <w:sz w:val="24"/>
                <w:szCs w:val="24"/>
              </w:rPr>
              <w:t xml:space="preserve"> per fishing vessel. This will be strongly conditioned by fleet characteristics and so is best when combined with other indicators.</w:t>
            </w:r>
          </w:p>
        </w:tc>
      </w:tr>
      <w:tr w:rsidR="000D5306" w:rsidRPr="00E526F3" w:rsidTr="00E5053A">
        <w:tc>
          <w:tcPr>
            <w:tcW w:w="9242" w:type="dxa"/>
            <w:gridSpan w:val="3"/>
          </w:tcPr>
          <w:p w:rsidR="000D5306" w:rsidRPr="00E526F3" w:rsidRDefault="000D5306" w:rsidP="00F421ED">
            <w:pPr>
              <w:spacing w:after="120"/>
              <w:rPr>
                <w:i/>
                <w:sz w:val="24"/>
                <w:szCs w:val="24"/>
              </w:rPr>
            </w:pPr>
          </w:p>
          <w:p w:rsidR="000D5306" w:rsidRPr="00E526F3" w:rsidRDefault="00E5053A" w:rsidP="00F421ED">
            <w:pPr>
              <w:spacing w:after="120"/>
              <w:jc w:val="center"/>
              <w:rPr>
                <w:i/>
                <w:sz w:val="24"/>
                <w:szCs w:val="24"/>
              </w:rPr>
            </w:pPr>
            <w:r>
              <w:rPr>
                <w:noProof/>
                <w:lang w:eastAsia="en-GB"/>
              </w:rPr>
              <w:drawing>
                <wp:inline distT="0" distB="0" distL="0" distR="0" wp14:anchorId="45B05B5B" wp14:editId="19AD9DE2">
                  <wp:extent cx="5760000" cy="3600450"/>
                  <wp:effectExtent l="0" t="0" r="0" b="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tc>
      </w:tr>
    </w:tbl>
    <w:p w:rsidR="000D5306" w:rsidRPr="00E526F3" w:rsidRDefault="000D5306" w:rsidP="000D5306">
      <w:pPr>
        <w:rPr>
          <w:sz w:val="24"/>
          <w:szCs w:val="24"/>
        </w:rPr>
      </w:pPr>
      <w:r w:rsidRPr="00E526F3">
        <w:rPr>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4"/>
        <w:gridCol w:w="4708"/>
      </w:tblGrid>
      <w:tr w:rsidR="000D5306" w:rsidRPr="00E526F3" w:rsidTr="00F421ED">
        <w:tc>
          <w:tcPr>
            <w:tcW w:w="9242" w:type="dxa"/>
            <w:gridSpan w:val="3"/>
            <w:vAlign w:val="center"/>
          </w:tcPr>
          <w:p w:rsidR="000D5306" w:rsidRPr="00E526F3" w:rsidRDefault="000D5306" w:rsidP="00F421ED">
            <w:pPr>
              <w:jc w:val="center"/>
              <w:rPr>
                <w:b/>
                <w:sz w:val="24"/>
                <w:szCs w:val="24"/>
              </w:rPr>
            </w:pPr>
            <w:r w:rsidRPr="00E526F3">
              <w:rPr>
                <w:b/>
                <w:sz w:val="24"/>
                <w:szCs w:val="24"/>
              </w:rPr>
              <w:lastRenderedPageBreak/>
              <w:t>Total Support by Gross Tonnage (SGT)</w:t>
            </w:r>
          </w:p>
        </w:tc>
      </w:tr>
      <w:tr w:rsidR="000D5306" w:rsidRPr="00E526F3" w:rsidTr="00F421ED">
        <w:tc>
          <w:tcPr>
            <w:tcW w:w="4621" w:type="dxa"/>
            <w:gridSpan w:val="2"/>
            <w:vAlign w:val="center"/>
          </w:tcPr>
          <w:p w:rsidR="000D5306" w:rsidRPr="00E526F3" w:rsidRDefault="000D5306" w:rsidP="00F421ED">
            <w:pPr>
              <w:rPr>
                <w:i/>
                <w:sz w:val="24"/>
                <w:szCs w:val="24"/>
              </w:rPr>
            </w:pPr>
          </w:p>
        </w:tc>
        <w:tc>
          <w:tcPr>
            <w:tcW w:w="4621" w:type="dxa"/>
            <w:vAlign w:val="center"/>
          </w:tcPr>
          <w:p w:rsidR="000D5306" w:rsidRPr="00E526F3" w:rsidRDefault="000D5306" w:rsidP="00F421ED">
            <w:pPr>
              <w:jc w:val="right"/>
              <w:rPr>
                <w:sz w:val="24"/>
                <w:szCs w:val="24"/>
              </w:rPr>
            </w:pPr>
          </w:p>
        </w:tc>
      </w:tr>
      <w:tr w:rsidR="000D5306" w:rsidRPr="00E526F3" w:rsidTr="00F421ED">
        <w:tc>
          <w:tcPr>
            <w:tcW w:w="4361" w:type="dxa"/>
            <w:vAlign w:val="center"/>
          </w:tcPr>
          <w:p w:rsidR="000D5306" w:rsidRPr="00E526F3" w:rsidRDefault="000D5306" w:rsidP="00F421ED">
            <w:pPr>
              <w:jc w:val="right"/>
              <w:rPr>
                <w:i/>
                <w:sz w:val="24"/>
                <w:szCs w:val="24"/>
              </w:rPr>
            </w:pPr>
            <w:r w:rsidRPr="00E526F3">
              <w:rPr>
                <w:i/>
                <w:sz w:val="24"/>
                <w:szCs w:val="24"/>
              </w:rPr>
              <w:t>Formula:</w:t>
            </w:r>
          </w:p>
        </w:tc>
        <w:tc>
          <w:tcPr>
            <w:tcW w:w="4881" w:type="dxa"/>
            <w:gridSpan w:val="2"/>
            <w:vAlign w:val="center"/>
          </w:tcPr>
          <w:p w:rsidR="000D5306" w:rsidRPr="00E526F3" w:rsidRDefault="000D5306" w:rsidP="00F421ED">
            <w:pPr>
              <w:rPr>
                <w:i/>
                <w:sz w:val="24"/>
                <w:szCs w:val="24"/>
              </w:rPr>
            </w:pPr>
            <w:r w:rsidRPr="00E526F3">
              <w:rPr>
                <w:position w:val="-24"/>
                <w:sz w:val="24"/>
                <w:szCs w:val="24"/>
              </w:rPr>
              <w:object w:dxaOrig="1260" w:dyaOrig="620">
                <v:shape id="_x0000_i1037" type="#_x0000_t75" style="width:64.55pt;height:29.9pt" o:ole="">
                  <v:imagedata r:id="rId56" o:title=""/>
                </v:shape>
                <o:OLEObject Type="Embed" ProgID="Equation.3" ShapeID="_x0000_i1037" DrawAspect="Content" ObjectID="_1520079492" r:id="rId57"/>
              </w:objec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vAlign w:val="center"/>
          </w:tcPr>
          <w:p w:rsidR="000D5306" w:rsidRPr="00E526F3" w:rsidRDefault="000D5306" w:rsidP="00F421ED">
            <w:pPr>
              <w:rPr>
                <w:sz w:val="24"/>
                <w:szCs w:val="24"/>
              </w:rPr>
            </w:pPr>
            <w:r w:rsidRPr="00E526F3">
              <w:rPr>
                <w:i/>
                <w:sz w:val="24"/>
                <w:szCs w:val="24"/>
              </w:rPr>
              <w:t>Description:</w:t>
            </w:r>
            <w:r w:rsidRPr="00E526F3">
              <w:rPr>
                <w:sz w:val="24"/>
                <w:szCs w:val="24"/>
              </w:rPr>
              <w:t xml:space="preserve"> The annual monetary value of transfers to individual fishers or collectively (FSE) scaled using gross tonnage of vessels (GT).</w:t>
            </w:r>
          </w:p>
        </w:tc>
      </w:tr>
      <w:tr w:rsidR="000D5306" w:rsidRPr="00E526F3" w:rsidTr="00F421ED">
        <w:tc>
          <w:tcPr>
            <w:tcW w:w="9242" w:type="dxa"/>
            <w:gridSpan w:val="3"/>
            <w:vAlign w:val="center"/>
          </w:tcPr>
          <w:p w:rsidR="000D5306" w:rsidRPr="00E526F3" w:rsidRDefault="000D5306" w:rsidP="00F421ED">
            <w:pPr>
              <w:rPr>
                <w:i/>
                <w:sz w:val="24"/>
                <w:szCs w:val="24"/>
              </w:rPr>
            </w:pPr>
          </w:p>
        </w:tc>
      </w:tr>
      <w:tr w:rsidR="000D5306" w:rsidRPr="00E526F3" w:rsidTr="00F421ED">
        <w:tc>
          <w:tcPr>
            <w:tcW w:w="9242" w:type="dxa"/>
            <w:gridSpan w:val="3"/>
          </w:tcPr>
          <w:p w:rsidR="000D5306" w:rsidRPr="00E526F3" w:rsidRDefault="000D5306" w:rsidP="00F421ED">
            <w:pPr>
              <w:rPr>
                <w:sz w:val="24"/>
                <w:szCs w:val="24"/>
              </w:rPr>
            </w:pPr>
            <w:r w:rsidRPr="00E526F3">
              <w:rPr>
                <w:i/>
                <w:sz w:val="24"/>
                <w:szCs w:val="24"/>
              </w:rPr>
              <w:t xml:space="preserve">Purpose: </w:t>
            </w:r>
            <w:r w:rsidRPr="00E526F3">
              <w:rPr>
                <w:sz w:val="24"/>
                <w:szCs w:val="24"/>
              </w:rPr>
              <w:t>It provides an alternative measure of the intensity of support.</w:t>
            </w:r>
            <w:r>
              <w:rPr>
                <w:sz w:val="24"/>
                <w:szCs w:val="24"/>
              </w:rPr>
              <w:t xml:space="preserve"> This will be strongly conditioned by fleet characteristics and so is best when combined with other indicators.</w:t>
            </w:r>
          </w:p>
        </w:tc>
      </w:tr>
      <w:tr w:rsidR="000D5306" w:rsidRPr="00E526F3" w:rsidTr="00E5053A">
        <w:tc>
          <w:tcPr>
            <w:tcW w:w="9242" w:type="dxa"/>
            <w:gridSpan w:val="3"/>
          </w:tcPr>
          <w:p w:rsidR="000D5306" w:rsidRPr="00E526F3" w:rsidRDefault="000D5306" w:rsidP="00F421ED">
            <w:pPr>
              <w:spacing w:after="120"/>
              <w:rPr>
                <w:i/>
                <w:sz w:val="24"/>
                <w:szCs w:val="24"/>
              </w:rPr>
            </w:pPr>
          </w:p>
          <w:p w:rsidR="000D5306" w:rsidRPr="00E526F3" w:rsidRDefault="00E5053A" w:rsidP="00F421ED">
            <w:pPr>
              <w:spacing w:after="120"/>
              <w:jc w:val="center"/>
              <w:rPr>
                <w:i/>
                <w:sz w:val="24"/>
                <w:szCs w:val="24"/>
              </w:rPr>
            </w:pPr>
            <w:r>
              <w:rPr>
                <w:noProof/>
                <w:lang w:eastAsia="en-GB"/>
              </w:rPr>
              <w:drawing>
                <wp:inline distT="0" distB="0" distL="0" distR="0" wp14:anchorId="5C2269EA" wp14:editId="2F460CED">
                  <wp:extent cx="5760000" cy="3600450"/>
                  <wp:effectExtent l="0" t="0" r="0" b="0"/>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tc>
      </w:tr>
      <w:tr w:rsidR="000D5306" w:rsidRPr="00E526F3" w:rsidTr="00F421ED">
        <w:tc>
          <w:tcPr>
            <w:tcW w:w="9242" w:type="dxa"/>
            <w:gridSpan w:val="3"/>
          </w:tcPr>
          <w:p w:rsidR="000D5306" w:rsidRPr="00E526F3" w:rsidRDefault="000D5306" w:rsidP="00F421ED">
            <w:pPr>
              <w:rPr>
                <w:i/>
                <w:sz w:val="24"/>
                <w:szCs w:val="24"/>
              </w:rPr>
            </w:pPr>
          </w:p>
        </w:tc>
      </w:tr>
    </w:tbl>
    <w:p w:rsidR="000D5306" w:rsidRPr="00E526F3" w:rsidRDefault="000D5306" w:rsidP="000D5306">
      <w:pPr>
        <w:rPr>
          <w:sz w:val="24"/>
          <w:szCs w:val="24"/>
        </w:rPr>
      </w:pPr>
    </w:p>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rsidR="00125645" w:rsidRPr="00D03B78" w:rsidRDefault="00125645" w:rsidP="00E5053A">
      <w:pPr>
        <w:tabs>
          <w:tab w:val="clear" w:pos="850"/>
          <w:tab w:val="clear" w:pos="1191"/>
          <w:tab w:val="clear" w:pos="1531"/>
        </w:tabs>
        <w:jc w:val="left"/>
      </w:pPr>
    </w:p>
    <w:sectPr w:rsidR="00125645" w:rsidRPr="00D03B78" w:rsidSect="007633DA">
      <w:headerReference w:type="even" r:id="rId59"/>
      <w:headerReference w:type="default" r:id="rId60"/>
      <w:footerReference w:type="even" r:id="rId61"/>
      <w:footerReference w:type="default" r:id="rId62"/>
      <w:headerReference w:type="first" r:id="rId63"/>
      <w:footerReference w:type="first" r:id="rId64"/>
      <w:endnotePr>
        <w:numFmt w:val="decimal"/>
      </w:endnotePr>
      <w:pgSz w:w="11906" w:h="16838"/>
      <w:pgMar w:top="1984" w:right="1247" w:bottom="1814" w:left="1191" w:header="1247" w:footer="12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80" w:rsidRDefault="008A4280">
      <w:r>
        <w:separator/>
      </w:r>
    </w:p>
  </w:endnote>
  <w:endnote w:type="continuationSeparator" w:id="0">
    <w:p w:rsidR="008A4280" w:rsidRDefault="008A4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orld">
    <w:altName w:val="Helvetica Wor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Default="008A4280" w:rsidP="006D2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83E">
      <w:rPr>
        <w:rStyle w:val="PageNumber"/>
        <w:noProof/>
      </w:rPr>
      <w:t>29</w:t>
    </w:r>
    <w:r>
      <w:rPr>
        <w:rStyle w:val="PageNumber"/>
      </w:rPr>
      <w:fldChar w:fldCharType="end"/>
    </w:r>
  </w:p>
  <w:p w:rsidR="008A4280" w:rsidRPr="007633DA" w:rsidRDefault="008A4280" w:rsidP="007633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Default="008A4280" w:rsidP="00763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83E">
      <w:rPr>
        <w:rStyle w:val="PageNumber"/>
        <w:noProof/>
      </w:rPr>
      <w:t>29</w:t>
    </w:r>
    <w:r>
      <w:rPr>
        <w:rStyle w:val="PageNumber"/>
      </w:rPr>
      <w:fldChar w:fldCharType="end"/>
    </w:r>
  </w:p>
  <w:p w:rsidR="008A4280" w:rsidRPr="007633DA" w:rsidRDefault="008A4280" w:rsidP="007633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Default="008A4280" w:rsidP="006D2E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83E">
      <w:rPr>
        <w:rStyle w:val="PageNumber"/>
        <w:noProof/>
      </w:rPr>
      <w:t>40</w:t>
    </w:r>
    <w:r>
      <w:rPr>
        <w:rStyle w:val="PageNumber"/>
      </w:rPr>
      <w:fldChar w:fldCharType="end"/>
    </w:r>
  </w:p>
  <w:p w:rsidR="008A4280" w:rsidRPr="007633DA" w:rsidRDefault="008A4280" w:rsidP="007633D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Default="008A4280" w:rsidP="007633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83E">
      <w:rPr>
        <w:rStyle w:val="PageNumber"/>
        <w:noProof/>
      </w:rPr>
      <w:t>39</w:t>
    </w:r>
    <w:r>
      <w:rPr>
        <w:rStyle w:val="PageNumber"/>
      </w:rPr>
      <w:fldChar w:fldCharType="end"/>
    </w:r>
  </w:p>
  <w:p w:rsidR="008A4280" w:rsidRPr="007633DA" w:rsidRDefault="008A4280" w:rsidP="007633D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Default="008A42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80" w:rsidRDefault="008A4280">
      <w:r>
        <w:separator/>
      </w:r>
    </w:p>
  </w:footnote>
  <w:footnote w:type="continuationSeparator" w:id="0">
    <w:p w:rsidR="008A4280" w:rsidRDefault="008A4280">
      <w:r>
        <w:continuationSeparator/>
      </w:r>
    </w:p>
  </w:footnote>
  <w:footnote w:id="1">
    <w:p w:rsidR="008A4280" w:rsidRDefault="008A4280" w:rsidP="006D2EA9">
      <w:pPr>
        <w:pStyle w:val="FootnoteText"/>
      </w:pPr>
      <w:r>
        <w:rPr>
          <w:rStyle w:val="FootnoteReference"/>
        </w:rPr>
        <w:footnoteRef/>
      </w:r>
      <w:r>
        <w:t xml:space="preserve"> </w:t>
      </w:r>
      <w:r>
        <w:tab/>
        <w:t>The FSE database currently contains mainly support to fisheries, but may potentially include support to aquaculture as well. The term “Fisheries” in this manual may be understood to mean “Fisheries and aquaculture” where applicable. Decision points are outstanding issues to be decided by the Committee for Fisheries (COFI).</w:t>
      </w:r>
    </w:p>
  </w:footnote>
  <w:footnote w:id="2">
    <w:p w:rsidR="008A4280" w:rsidRDefault="008A4280" w:rsidP="006D2EA9">
      <w:pPr>
        <w:pStyle w:val="FootnoteText"/>
      </w:pPr>
      <w:r>
        <w:rPr>
          <w:rStyle w:val="FootnoteReference"/>
        </w:rPr>
        <w:footnoteRef/>
      </w:r>
      <w:r>
        <w:t xml:space="preserve"> </w:t>
      </w:r>
      <w:r>
        <w:tab/>
        <w:t>An alternative approach is to use reference price at which retail users may buy fuel and compare this with the price actually paid by fishers. This requires observational data on prices that is seldom readily available.</w:t>
      </w:r>
    </w:p>
  </w:footnote>
  <w:footnote w:id="3">
    <w:p w:rsidR="008A4280" w:rsidRPr="00F22700" w:rsidRDefault="008A4280" w:rsidP="00947D13">
      <w:pPr>
        <w:pStyle w:val="FootnoteText"/>
      </w:pPr>
      <w:r w:rsidRPr="00F22700">
        <w:rPr>
          <w:rStyle w:val="FootnoteReference"/>
          <w:vertAlign w:val="baseline"/>
        </w:rPr>
        <w:footnoteRef/>
      </w:r>
      <w:r w:rsidRPr="00F22700">
        <w:t>.</w:t>
      </w:r>
      <w:r w:rsidRPr="00F22700">
        <w:tab/>
        <w:t xml:space="preserve">Recall that gross receipts is the value of production, plus </w:t>
      </w:r>
      <w:r>
        <w:t>t</w:t>
      </w:r>
      <w:r w:rsidRPr="00F22700">
        <w:t xml:space="preserve">ransfers provided to </w:t>
      </w:r>
      <w:r>
        <w:t>fishers</w:t>
      </w:r>
      <w:r w:rsidRPr="00F22700">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Pr="007633DA" w:rsidRDefault="008A4280" w:rsidP="007633DA">
    <w:pPr>
      <w:pStyle w:val="Header"/>
    </w:pPr>
    <w:r>
      <w:t>TAD/FI(2015)17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Pr="007633DA" w:rsidRDefault="008A4280" w:rsidP="007633DA">
    <w:pPr>
      <w:pStyle w:val="Header"/>
      <w:tabs>
        <w:tab w:val="clear" w:pos="4536"/>
        <w:tab w:val="clear" w:pos="9072"/>
        <w:tab w:val="right" w:pos="9411"/>
      </w:tabs>
    </w:pPr>
    <w:r>
      <w:tab/>
      <w:t>TAD/FI(2015)17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Pr="007633DA" w:rsidRDefault="008A4280" w:rsidP="007633DA">
    <w:pPr>
      <w:pStyle w:val="Header"/>
    </w:pPr>
    <w:r>
      <w:t>TAD/FI(2015)17</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Pr="007633DA" w:rsidRDefault="008A4280" w:rsidP="007633DA">
    <w:pPr>
      <w:pStyle w:val="Header"/>
      <w:tabs>
        <w:tab w:val="clear" w:pos="4536"/>
        <w:tab w:val="clear" w:pos="9072"/>
        <w:tab w:val="right" w:pos="9411"/>
      </w:tabs>
    </w:pPr>
    <w:r>
      <w:tab/>
      <w:t>TAD/FI(2015)17</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280" w:rsidRDefault="008A42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A88BA72"/>
    <w:lvl w:ilvl="0">
      <w:start w:val="1"/>
      <w:numFmt w:val="bullet"/>
      <w:lvlText w:val=""/>
      <w:lvlJc w:val="left"/>
      <w:pPr>
        <w:tabs>
          <w:tab w:val="num" w:pos="360"/>
        </w:tabs>
        <w:ind w:left="360" w:hanging="360"/>
      </w:pPr>
      <w:rPr>
        <w:rFonts w:ascii="Symbol" w:hAnsi="Symbol" w:hint="default"/>
      </w:rPr>
    </w:lvl>
  </w:abstractNum>
  <w:abstractNum w:abstractNumId="1">
    <w:nsid w:val="043C1C9D"/>
    <w:multiLevelType w:val="hybridMultilevel"/>
    <w:tmpl w:val="F9CCBAFC"/>
    <w:lvl w:ilvl="0" w:tplc="04090001">
      <w:start w:val="1"/>
      <w:numFmt w:val="bullet"/>
      <w:lvlText w:val=""/>
      <w:lvlJc w:val="left"/>
      <w:pPr>
        <w:tabs>
          <w:tab w:val="num" w:pos="802"/>
        </w:tabs>
        <w:ind w:left="802" w:hanging="360"/>
      </w:pPr>
      <w:rPr>
        <w:rFonts w:ascii="Symbol" w:hAnsi="Symbol" w:hint="default"/>
      </w:rPr>
    </w:lvl>
    <w:lvl w:ilvl="1" w:tplc="04090003" w:tentative="1">
      <w:start w:val="1"/>
      <w:numFmt w:val="bullet"/>
      <w:lvlText w:val="o"/>
      <w:lvlJc w:val="left"/>
      <w:pPr>
        <w:tabs>
          <w:tab w:val="num" w:pos="1522"/>
        </w:tabs>
        <w:ind w:left="1522" w:hanging="360"/>
      </w:pPr>
      <w:rPr>
        <w:rFonts w:ascii="Courier New" w:hAnsi="Courier New" w:cs="Courier New" w:hint="default"/>
      </w:rPr>
    </w:lvl>
    <w:lvl w:ilvl="2" w:tplc="04090005" w:tentative="1">
      <w:start w:val="1"/>
      <w:numFmt w:val="bullet"/>
      <w:lvlText w:val=""/>
      <w:lvlJc w:val="left"/>
      <w:pPr>
        <w:tabs>
          <w:tab w:val="num" w:pos="2242"/>
        </w:tabs>
        <w:ind w:left="2242" w:hanging="360"/>
      </w:pPr>
      <w:rPr>
        <w:rFonts w:ascii="Wingdings" w:hAnsi="Wingdings" w:hint="default"/>
      </w:rPr>
    </w:lvl>
    <w:lvl w:ilvl="3" w:tplc="04090001" w:tentative="1">
      <w:start w:val="1"/>
      <w:numFmt w:val="bullet"/>
      <w:lvlText w:val=""/>
      <w:lvlJc w:val="left"/>
      <w:pPr>
        <w:tabs>
          <w:tab w:val="num" w:pos="2962"/>
        </w:tabs>
        <w:ind w:left="2962" w:hanging="360"/>
      </w:pPr>
      <w:rPr>
        <w:rFonts w:ascii="Symbol" w:hAnsi="Symbol" w:hint="default"/>
      </w:rPr>
    </w:lvl>
    <w:lvl w:ilvl="4" w:tplc="04090003" w:tentative="1">
      <w:start w:val="1"/>
      <w:numFmt w:val="bullet"/>
      <w:lvlText w:val="o"/>
      <w:lvlJc w:val="left"/>
      <w:pPr>
        <w:tabs>
          <w:tab w:val="num" w:pos="3682"/>
        </w:tabs>
        <w:ind w:left="3682" w:hanging="360"/>
      </w:pPr>
      <w:rPr>
        <w:rFonts w:ascii="Courier New" w:hAnsi="Courier New" w:cs="Courier New" w:hint="default"/>
      </w:rPr>
    </w:lvl>
    <w:lvl w:ilvl="5" w:tplc="04090005" w:tentative="1">
      <w:start w:val="1"/>
      <w:numFmt w:val="bullet"/>
      <w:lvlText w:val=""/>
      <w:lvlJc w:val="left"/>
      <w:pPr>
        <w:tabs>
          <w:tab w:val="num" w:pos="4402"/>
        </w:tabs>
        <w:ind w:left="4402" w:hanging="360"/>
      </w:pPr>
      <w:rPr>
        <w:rFonts w:ascii="Wingdings" w:hAnsi="Wingdings" w:hint="default"/>
      </w:rPr>
    </w:lvl>
    <w:lvl w:ilvl="6" w:tplc="04090001" w:tentative="1">
      <w:start w:val="1"/>
      <w:numFmt w:val="bullet"/>
      <w:lvlText w:val=""/>
      <w:lvlJc w:val="left"/>
      <w:pPr>
        <w:tabs>
          <w:tab w:val="num" w:pos="5122"/>
        </w:tabs>
        <w:ind w:left="5122" w:hanging="360"/>
      </w:pPr>
      <w:rPr>
        <w:rFonts w:ascii="Symbol" w:hAnsi="Symbol" w:hint="default"/>
      </w:rPr>
    </w:lvl>
    <w:lvl w:ilvl="7" w:tplc="04090003" w:tentative="1">
      <w:start w:val="1"/>
      <w:numFmt w:val="bullet"/>
      <w:lvlText w:val="o"/>
      <w:lvlJc w:val="left"/>
      <w:pPr>
        <w:tabs>
          <w:tab w:val="num" w:pos="5842"/>
        </w:tabs>
        <w:ind w:left="5842" w:hanging="360"/>
      </w:pPr>
      <w:rPr>
        <w:rFonts w:ascii="Courier New" w:hAnsi="Courier New" w:cs="Courier New" w:hint="default"/>
      </w:rPr>
    </w:lvl>
    <w:lvl w:ilvl="8" w:tplc="04090005" w:tentative="1">
      <w:start w:val="1"/>
      <w:numFmt w:val="bullet"/>
      <w:lvlText w:val=""/>
      <w:lvlJc w:val="left"/>
      <w:pPr>
        <w:tabs>
          <w:tab w:val="num" w:pos="6562"/>
        </w:tabs>
        <w:ind w:left="6562" w:hanging="360"/>
      </w:pPr>
      <w:rPr>
        <w:rFonts w:ascii="Wingdings" w:hAnsi="Wingdings" w:hint="default"/>
      </w:rPr>
    </w:lvl>
  </w:abstractNum>
  <w:abstractNum w:abstractNumId="2">
    <w:nsid w:val="07F90F62"/>
    <w:multiLevelType w:val="singleLevel"/>
    <w:tmpl w:val="41606694"/>
    <w:name w:val="templateBullet1"/>
    <w:lvl w:ilvl="0">
      <w:start w:val="1"/>
      <w:numFmt w:val="bullet"/>
      <w:pStyle w:val="ListBullet"/>
      <w:lvlText w:val="·"/>
      <w:lvlJc w:val="left"/>
      <w:pPr>
        <w:tabs>
          <w:tab w:val="num" w:pos="850"/>
        </w:tabs>
        <w:ind w:left="850" w:hanging="408"/>
      </w:pPr>
      <w:rPr>
        <w:rFonts w:ascii="Symbol" w:hAnsi="Symbol" w:cs="Times New Roman" w:hint="default"/>
        <w:b w:val="0"/>
        <w:i w:val="0"/>
        <w:sz w:val="22"/>
      </w:rPr>
    </w:lvl>
  </w:abstractNum>
  <w:abstractNum w:abstractNumId="3">
    <w:nsid w:val="096C2222"/>
    <w:multiLevelType w:val="hybridMultilevel"/>
    <w:tmpl w:val="38101810"/>
    <w:lvl w:ilvl="0" w:tplc="04090001">
      <w:start w:val="1"/>
      <w:numFmt w:val="bullet"/>
      <w:lvlText w:val=""/>
      <w:lvlJc w:val="left"/>
      <w:pPr>
        <w:tabs>
          <w:tab w:val="num" w:pos="284"/>
        </w:tabs>
        <w:ind w:left="284" w:hanging="284"/>
      </w:pPr>
      <w:rPr>
        <w:rFonts w:ascii="Symbol" w:hAnsi="Symbol" w:hint="default"/>
        <w:sz w:val="20"/>
        <w:szCs w:val="20"/>
      </w:rPr>
    </w:lvl>
    <w:lvl w:ilvl="1" w:tplc="04090003" w:tentative="1">
      <w:start w:val="1"/>
      <w:numFmt w:val="bullet"/>
      <w:lvlText w:val="o"/>
      <w:lvlJc w:val="left"/>
      <w:pPr>
        <w:tabs>
          <w:tab w:val="num" w:pos="589"/>
        </w:tabs>
        <w:ind w:left="589" w:hanging="360"/>
      </w:pPr>
      <w:rPr>
        <w:rFonts w:ascii="Courier New" w:hAnsi="Courier New" w:cs="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cs="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cs="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4">
    <w:nsid w:val="0C890C55"/>
    <w:multiLevelType w:val="singleLevel"/>
    <w:tmpl w:val="15B65924"/>
    <w:name w:val="templateBulletBox3"/>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nsid w:val="0DEA6B1D"/>
    <w:multiLevelType w:val="singleLevel"/>
    <w:tmpl w:val="D5A6E36A"/>
    <w:styleLink w:val="NumericNote"/>
    <w:lvl w:ilvl="0">
      <w:start w:val="1"/>
      <w:numFmt w:val="decimal"/>
      <w:lvlText w:val="%1."/>
      <w:lvlJc w:val="left"/>
      <w:pPr>
        <w:tabs>
          <w:tab w:val="num" w:pos="408"/>
        </w:tabs>
        <w:ind w:left="408" w:hanging="408"/>
      </w:pPr>
    </w:lvl>
  </w:abstractNum>
  <w:abstractNum w:abstractNumId="7">
    <w:nsid w:val="12A90285"/>
    <w:multiLevelType w:val="multilevel"/>
    <w:tmpl w:val="A60A5590"/>
    <w:lvl w:ilvl="0">
      <w:start w:val="1"/>
      <w:numFmt w:val="bullet"/>
      <w:lvlText w:val=""/>
      <w:lvlJc w:val="left"/>
      <w:pPr>
        <w:tabs>
          <w:tab w:val="num" w:pos="284"/>
        </w:tabs>
        <w:ind w:left="284" w:hanging="284"/>
      </w:pPr>
      <w:rPr>
        <w:rFonts w:ascii="Symbol" w:hAnsi="Symbol" w:hint="default"/>
        <w:sz w:val="20"/>
        <w:szCs w:val="20"/>
      </w:rPr>
    </w:lvl>
    <w:lvl w:ilvl="1">
      <w:start w:val="5"/>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9">
    <w:nsid w:val="157968A9"/>
    <w:multiLevelType w:val="singleLevel"/>
    <w:tmpl w:val="D5A6E36A"/>
    <w:name w:val="NumericNote"/>
    <w:lvl w:ilvl="0">
      <w:start w:val="1"/>
      <w:numFmt w:val="decimal"/>
      <w:lvlText w:val="%1."/>
      <w:lvlJc w:val="left"/>
      <w:pPr>
        <w:tabs>
          <w:tab w:val="num" w:pos="850"/>
        </w:tabs>
        <w:ind w:left="850" w:hanging="408"/>
      </w:pPr>
    </w:lvl>
  </w:abstractNum>
  <w:abstractNum w:abstractNumId="10">
    <w:nsid w:val="194B12F4"/>
    <w:multiLevelType w:val="hybridMultilevel"/>
    <w:tmpl w:val="9B20A2BA"/>
    <w:lvl w:ilvl="0" w:tplc="FFFFFFFF">
      <w:start w:val="1"/>
      <w:numFmt w:val="bullet"/>
      <w:lvlText w:val=""/>
      <w:lvlJc w:val="left"/>
      <w:pPr>
        <w:ind w:left="416" w:hanging="360"/>
      </w:pPr>
      <w:rPr>
        <w:rFonts w:ascii="Symbol" w:hAnsi="Symbol" w:hint="default"/>
      </w:rPr>
    </w:lvl>
    <w:lvl w:ilvl="1" w:tplc="FFFFFFFF" w:tentative="1">
      <w:start w:val="1"/>
      <w:numFmt w:val="bullet"/>
      <w:lvlText w:val="o"/>
      <w:lvlJc w:val="left"/>
      <w:pPr>
        <w:ind w:left="1136" w:hanging="360"/>
      </w:pPr>
      <w:rPr>
        <w:rFonts w:ascii="Courier New" w:hAnsi="Courier New" w:cs="Courier New" w:hint="default"/>
      </w:rPr>
    </w:lvl>
    <w:lvl w:ilvl="2" w:tplc="FFFFFFFF" w:tentative="1">
      <w:start w:val="1"/>
      <w:numFmt w:val="bullet"/>
      <w:lvlText w:val=""/>
      <w:lvlJc w:val="left"/>
      <w:pPr>
        <w:ind w:left="1856" w:hanging="360"/>
      </w:pPr>
      <w:rPr>
        <w:rFonts w:ascii="Wingdings" w:hAnsi="Wingdings" w:hint="default"/>
      </w:rPr>
    </w:lvl>
    <w:lvl w:ilvl="3" w:tplc="FFFFFFFF" w:tentative="1">
      <w:start w:val="1"/>
      <w:numFmt w:val="bullet"/>
      <w:lvlText w:val=""/>
      <w:lvlJc w:val="left"/>
      <w:pPr>
        <w:ind w:left="2576" w:hanging="360"/>
      </w:pPr>
      <w:rPr>
        <w:rFonts w:ascii="Symbol" w:hAnsi="Symbol" w:hint="default"/>
      </w:rPr>
    </w:lvl>
    <w:lvl w:ilvl="4" w:tplc="FFFFFFFF" w:tentative="1">
      <w:start w:val="1"/>
      <w:numFmt w:val="bullet"/>
      <w:lvlText w:val="o"/>
      <w:lvlJc w:val="left"/>
      <w:pPr>
        <w:ind w:left="3296" w:hanging="360"/>
      </w:pPr>
      <w:rPr>
        <w:rFonts w:ascii="Courier New" w:hAnsi="Courier New" w:cs="Courier New" w:hint="default"/>
      </w:rPr>
    </w:lvl>
    <w:lvl w:ilvl="5" w:tplc="FFFFFFFF" w:tentative="1">
      <w:start w:val="1"/>
      <w:numFmt w:val="bullet"/>
      <w:lvlText w:val=""/>
      <w:lvlJc w:val="left"/>
      <w:pPr>
        <w:ind w:left="4016" w:hanging="360"/>
      </w:pPr>
      <w:rPr>
        <w:rFonts w:ascii="Wingdings" w:hAnsi="Wingdings" w:hint="default"/>
      </w:rPr>
    </w:lvl>
    <w:lvl w:ilvl="6" w:tplc="FFFFFFFF" w:tentative="1">
      <w:start w:val="1"/>
      <w:numFmt w:val="bullet"/>
      <w:lvlText w:val=""/>
      <w:lvlJc w:val="left"/>
      <w:pPr>
        <w:ind w:left="4736" w:hanging="360"/>
      </w:pPr>
      <w:rPr>
        <w:rFonts w:ascii="Symbol" w:hAnsi="Symbol" w:hint="default"/>
      </w:rPr>
    </w:lvl>
    <w:lvl w:ilvl="7" w:tplc="FFFFFFFF" w:tentative="1">
      <w:start w:val="1"/>
      <w:numFmt w:val="bullet"/>
      <w:lvlText w:val="o"/>
      <w:lvlJc w:val="left"/>
      <w:pPr>
        <w:ind w:left="5456" w:hanging="360"/>
      </w:pPr>
      <w:rPr>
        <w:rFonts w:ascii="Courier New" w:hAnsi="Courier New" w:cs="Courier New" w:hint="default"/>
      </w:rPr>
    </w:lvl>
    <w:lvl w:ilvl="8" w:tplc="FFFFFFFF" w:tentative="1">
      <w:start w:val="1"/>
      <w:numFmt w:val="bullet"/>
      <w:lvlText w:val=""/>
      <w:lvlJc w:val="left"/>
      <w:pPr>
        <w:ind w:left="6176" w:hanging="360"/>
      </w:pPr>
      <w:rPr>
        <w:rFonts w:ascii="Wingdings" w:hAnsi="Wingdings" w:hint="default"/>
      </w:rPr>
    </w:lvl>
  </w:abstractNum>
  <w:abstractNum w:abstractNumId="11">
    <w:nsid w:val="22071392"/>
    <w:multiLevelType w:val="hybridMultilevel"/>
    <w:tmpl w:val="C73A7770"/>
    <w:lvl w:ilvl="0" w:tplc="04090001">
      <w:start w:val="1"/>
      <w:numFmt w:val="bullet"/>
      <w:lvlText w:val=""/>
      <w:lvlJc w:val="left"/>
      <w:pPr>
        <w:ind w:left="1554" w:hanging="360"/>
      </w:pPr>
      <w:rPr>
        <w:rFonts w:ascii="Symbol" w:hAnsi="Symbol" w:hint="default"/>
      </w:rPr>
    </w:lvl>
    <w:lvl w:ilvl="1" w:tplc="04090003" w:tentative="1">
      <w:start w:val="1"/>
      <w:numFmt w:val="bullet"/>
      <w:lvlText w:val="o"/>
      <w:lvlJc w:val="left"/>
      <w:pPr>
        <w:ind w:left="2274" w:hanging="360"/>
      </w:pPr>
      <w:rPr>
        <w:rFonts w:ascii="Courier New" w:hAnsi="Courier New" w:cs="Courier New" w:hint="default"/>
      </w:rPr>
    </w:lvl>
    <w:lvl w:ilvl="2" w:tplc="04090005" w:tentative="1">
      <w:start w:val="1"/>
      <w:numFmt w:val="bullet"/>
      <w:lvlText w:val=""/>
      <w:lvlJc w:val="left"/>
      <w:pPr>
        <w:ind w:left="2994" w:hanging="360"/>
      </w:pPr>
      <w:rPr>
        <w:rFonts w:ascii="Wingdings" w:hAnsi="Wingdings" w:hint="default"/>
      </w:rPr>
    </w:lvl>
    <w:lvl w:ilvl="3" w:tplc="04090001" w:tentative="1">
      <w:start w:val="1"/>
      <w:numFmt w:val="bullet"/>
      <w:lvlText w:val=""/>
      <w:lvlJc w:val="left"/>
      <w:pPr>
        <w:ind w:left="3714" w:hanging="360"/>
      </w:pPr>
      <w:rPr>
        <w:rFonts w:ascii="Symbol" w:hAnsi="Symbol" w:hint="default"/>
      </w:rPr>
    </w:lvl>
    <w:lvl w:ilvl="4" w:tplc="04090003" w:tentative="1">
      <w:start w:val="1"/>
      <w:numFmt w:val="bullet"/>
      <w:lvlText w:val="o"/>
      <w:lvlJc w:val="left"/>
      <w:pPr>
        <w:ind w:left="4434" w:hanging="360"/>
      </w:pPr>
      <w:rPr>
        <w:rFonts w:ascii="Courier New" w:hAnsi="Courier New" w:cs="Courier New" w:hint="default"/>
      </w:rPr>
    </w:lvl>
    <w:lvl w:ilvl="5" w:tplc="04090005" w:tentative="1">
      <w:start w:val="1"/>
      <w:numFmt w:val="bullet"/>
      <w:lvlText w:val=""/>
      <w:lvlJc w:val="left"/>
      <w:pPr>
        <w:ind w:left="5154" w:hanging="360"/>
      </w:pPr>
      <w:rPr>
        <w:rFonts w:ascii="Wingdings" w:hAnsi="Wingdings" w:hint="default"/>
      </w:rPr>
    </w:lvl>
    <w:lvl w:ilvl="6" w:tplc="04090001" w:tentative="1">
      <w:start w:val="1"/>
      <w:numFmt w:val="bullet"/>
      <w:lvlText w:val=""/>
      <w:lvlJc w:val="left"/>
      <w:pPr>
        <w:ind w:left="5874" w:hanging="360"/>
      </w:pPr>
      <w:rPr>
        <w:rFonts w:ascii="Symbol" w:hAnsi="Symbol" w:hint="default"/>
      </w:rPr>
    </w:lvl>
    <w:lvl w:ilvl="7" w:tplc="04090003" w:tentative="1">
      <w:start w:val="1"/>
      <w:numFmt w:val="bullet"/>
      <w:lvlText w:val="o"/>
      <w:lvlJc w:val="left"/>
      <w:pPr>
        <w:ind w:left="6594" w:hanging="360"/>
      </w:pPr>
      <w:rPr>
        <w:rFonts w:ascii="Courier New" w:hAnsi="Courier New" w:cs="Courier New" w:hint="default"/>
      </w:rPr>
    </w:lvl>
    <w:lvl w:ilvl="8" w:tplc="04090005" w:tentative="1">
      <w:start w:val="1"/>
      <w:numFmt w:val="bullet"/>
      <w:lvlText w:val=""/>
      <w:lvlJc w:val="left"/>
      <w:pPr>
        <w:ind w:left="7314" w:hanging="360"/>
      </w:pPr>
      <w:rPr>
        <w:rFonts w:ascii="Wingdings" w:hAnsi="Wingdings" w:hint="default"/>
      </w:rPr>
    </w:lvl>
  </w:abstractNum>
  <w:abstractNum w:abstractNumId="12">
    <w:nsid w:val="27397F89"/>
    <w:multiLevelType w:val="singleLevel"/>
    <w:tmpl w:val="60A0508A"/>
    <w:name w:val="AlphaNote"/>
    <w:lvl w:ilvl="0">
      <w:start w:val="1"/>
      <w:numFmt w:val="lowerLetter"/>
      <w:lvlText w:val="%1."/>
      <w:lvlJc w:val="left"/>
      <w:pPr>
        <w:tabs>
          <w:tab w:val="num" w:pos="850"/>
        </w:tabs>
        <w:ind w:left="850" w:hanging="408"/>
      </w:pPr>
    </w:lvl>
  </w:abstractNum>
  <w:abstractNum w:abstractNumId="13">
    <w:nsid w:val="2ACF6F84"/>
    <w:multiLevelType w:val="singleLevel"/>
    <w:tmpl w:val="D51E568A"/>
    <w:name w:val="templateBullet2"/>
    <w:lvl w:ilvl="0">
      <w:start w:val="1"/>
      <w:numFmt w:val="bullet"/>
      <w:pStyle w:val="ListBullet2"/>
      <w:lvlText w:val="-"/>
      <w:lvlJc w:val="left"/>
      <w:pPr>
        <w:tabs>
          <w:tab w:val="num" w:pos="1190"/>
        </w:tabs>
        <w:ind w:left="1190" w:hanging="340"/>
      </w:pPr>
      <w:rPr>
        <w:rFonts w:ascii="Symbol" w:hAnsi="Symbol" w:cs="Times New Roman" w:hint="default"/>
        <w:b w:val="0"/>
        <w:i w:val="0"/>
        <w:sz w:val="22"/>
      </w:rPr>
    </w:lvl>
  </w:abstractNum>
  <w:abstractNum w:abstractNumId="14">
    <w:nsid w:val="30D10B8F"/>
    <w:multiLevelType w:val="multilevel"/>
    <w:tmpl w:val="3A5671A2"/>
    <w:lvl w:ilvl="0">
      <w:start w:val="1"/>
      <w:numFmt w:val="bullet"/>
      <w:lvlText w:val=""/>
      <w:lvlJc w:val="left"/>
      <w:pPr>
        <w:tabs>
          <w:tab w:val="num" w:pos="850"/>
        </w:tabs>
        <w:ind w:left="850" w:hanging="408"/>
      </w:pPr>
      <w:rPr>
        <w:rFonts w:ascii="Symbol" w:hAnsi="Symbol" w:hint="default"/>
      </w:rPr>
    </w:lvl>
    <w:lvl w:ilvl="1">
      <w:start w:val="1"/>
      <w:numFmt w:val="decimal"/>
      <w:lvlText w:val="%2."/>
      <w:lvlJc w:val="left"/>
      <w:pPr>
        <w:tabs>
          <w:tab w:val="num" w:pos="1191"/>
        </w:tabs>
        <w:ind w:left="1191" w:hanging="341"/>
      </w:pPr>
    </w:lvl>
    <w:lvl w:ilvl="2">
      <w:start w:val="1"/>
      <w:numFmt w:val="decimal"/>
      <w:lvlText w:val="%3."/>
      <w:lvlJc w:val="left"/>
      <w:pPr>
        <w:tabs>
          <w:tab w:val="num" w:pos="1474"/>
        </w:tabs>
        <w:ind w:left="1474" w:hanging="340"/>
      </w:pPr>
    </w:lvl>
    <w:lvl w:ilvl="3">
      <w:start w:val="1"/>
      <w:numFmt w:val="decimal"/>
      <w:lvlText w:val="%4."/>
      <w:lvlJc w:val="left"/>
      <w:pPr>
        <w:tabs>
          <w:tab w:val="num" w:pos="1757"/>
        </w:tabs>
        <w:ind w:left="1757" w:hanging="340"/>
      </w:pPr>
    </w:lvl>
    <w:lvl w:ilvl="4">
      <w:start w:val="1"/>
      <w:numFmt w:val="decimal"/>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85D0A84"/>
    <w:multiLevelType w:val="multilevel"/>
    <w:tmpl w:val="7F148E5C"/>
    <w:name w:val="templateNumberBox"/>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8518"/>
        </w:tabs>
        <w:ind w:left="8518" w:hanging="360"/>
      </w:pPr>
    </w:lvl>
    <w:lvl w:ilvl="4">
      <w:start w:val="1"/>
      <w:numFmt w:val="lowerLetter"/>
      <w:lvlText w:val="(%5)"/>
      <w:lvlJc w:val="left"/>
      <w:pPr>
        <w:tabs>
          <w:tab w:val="num" w:pos="8878"/>
        </w:tabs>
        <w:ind w:left="8878" w:hanging="360"/>
      </w:pPr>
    </w:lvl>
    <w:lvl w:ilvl="5">
      <w:start w:val="1"/>
      <w:numFmt w:val="lowerRoman"/>
      <w:lvlText w:val="(%6)"/>
      <w:lvlJc w:val="left"/>
      <w:pPr>
        <w:tabs>
          <w:tab w:val="num" w:pos="9238"/>
        </w:tabs>
        <w:ind w:left="9238" w:hanging="360"/>
      </w:pPr>
    </w:lvl>
    <w:lvl w:ilvl="6">
      <w:start w:val="1"/>
      <w:numFmt w:val="decimal"/>
      <w:lvlText w:val="%7."/>
      <w:lvlJc w:val="left"/>
      <w:pPr>
        <w:tabs>
          <w:tab w:val="num" w:pos="9598"/>
        </w:tabs>
        <w:ind w:left="9598" w:hanging="360"/>
      </w:pPr>
    </w:lvl>
    <w:lvl w:ilvl="7">
      <w:start w:val="1"/>
      <w:numFmt w:val="lowerLetter"/>
      <w:lvlText w:val="%8."/>
      <w:lvlJc w:val="left"/>
      <w:pPr>
        <w:tabs>
          <w:tab w:val="num" w:pos="9958"/>
        </w:tabs>
        <w:ind w:left="9958" w:hanging="360"/>
      </w:pPr>
    </w:lvl>
    <w:lvl w:ilvl="8">
      <w:start w:val="1"/>
      <w:numFmt w:val="lowerRoman"/>
      <w:lvlText w:val="%9."/>
      <w:lvlJc w:val="left"/>
      <w:pPr>
        <w:tabs>
          <w:tab w:val="num" w:pos="10318"/>
        </w:tabs>
        <w:ind w:left="10318" w:hanging="360"/>
      </w:pPr>
    </w:lvl>
  </w:abstractNum>
  <w:abstractNum w:abstractNumId="16">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C16674D"/>
    <w:multiLevelType w:val="hybridMultilevel"/>
    <w:tmpl w:val="7614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861124"/>
    <w:multiLevelType w:val="singleLevel"/>
    <w:tmpl w:val="45E02AE4"/>
    <w:lvl w:ilvl="0">
      <w:start w:val="1"/>
      <w:numFmt w:val="bullet"/>
      <w:lvlText w:val=""/>
      <w:lvlJc w:val="left"/>
      <w:pPr>
        <w:ind w:left="360" w:hanging="360"/>
      </w:pPr>
      <w:rPr>
        <w:rFonts w:ascii="Symbol" w:hAnsi="Symbol" w:hint="default"/>
        <w:sz w:val="20"/>
        <w:szCs w:val="20"/>
      </w:rPr>
    </w:lvl>
  </w:abstractNum>
  <w:abstractNum w:abstractNumId="19">
    <w:nsid w:val="48BB7503"/>
    <w:multiLevelType w:val="singleLevel"/>
    <w:tmpl w:val="60A0508A"/>
    <w:styleLink w:val="AlphaNote"/>
    <w:lvl w:ilvl="0">
      <w:start w:val="1"/>
      <w:numFmt w:val="lowerLetter"/>
      <w:lvlText w:val="%1."/>
      <w:lvlJc w:val="left"/>
      <w:pPr>
        <w:tabs>
          <w:tab w:val="num" w:pos="408"/>
        </w:tabs>
        <w:ind w:left="408" w:hanging="408"/>
      </w:pPr>
    </w:lvl>
  </w:abstractNum>
  <w:abstractNum w:abstractNumId="20">
    <w:nsid w:val="48EC55A8"/>
    <w:multiLevelType w:val="singleLevel"/>
    <w:tmpl w:val="EBBACA14"/>
    <w:name w:val="templateBullet3"/>
    <w:lvl w:ilvl="0">
      <w:start w:val="1"/>
      <w:numFmt w:val="bullet"/>
      <w:pStyle w:val="ListBullet3"/>
      <w:lvlText w:val="-"/>
      <w:lvlJc w:val="left"/>
      <w:pPr>
        <w:tabs>
          <w:tab w:val="num" w:pos="1474"/>
        </w:tabs>
        <w:ind w:left="1474" w:hanging="340"/>
      </w:pPr>
      <w:rPr>
        <w:rFonts w:ascii="Symbol" w:hAnsi="Symbol" w:cs="Times New Roman" w:hint="default"/>
        <w:b w:val="0"/>
        <w:i w:val="0"/>
        <w:sz w:val="22"/>
      </w:rPr>
    </w:lvl>
  </w:abstractNum>
  <w:abstractNum w:abstractNumId="21">
    <w:nsid w:val="49C13B64"/>
    <w:multiLevelType w:val="hybridMultilevel"/>
    <w:tmpl w:val="737AA6C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nsid w:val="4AAE47B4"/>
    <w:multiLevelType w:val="singleLevel"/>
    <w:tmpl w:val="AB6CFFBC"/>
    <w:name w:val="templateBulletBox2"/>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23">
    <w:nsid w:val="52960C65"/>
    <w:multiLevelType w:val="hybridMultilevel"/>
    <w:tmpl w:val="97924420"/>
    <w:lvl w:ilvl="0" w:tplc="FFFFFFFF">
      <w:start w:val="1"/>
      <w:numFmt w:val="decimal"/>
      <w:lvlText w:val="%1."/>
      <w:lvlJc w:val="left"/>
      <w:pPr>
        <w:tabs>
          <w:tab w:val="num" w:pos="786"/>
        </w:tabs>
        <w:ind w:left="786" w:hanging="360"/>
      </w:pPr>
      <w:rPr>
        <w:rFonts w:hint="default"/>
        <w:b w:val="0"/>
        <w:i w:val="0"/>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550C7D09"/>
    <w:multiLevelType w:val="hybridMultilevel"/>
    <w:tmpl w:val="15F0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8572EB"/>
    <w:multiLevelType w:val="hybridMultilevel"/>
    <w:tmpl w:val="7706C06A"/>
    <w:lvl w:ilvl="0" w:tplc="04090001">
      <w:start w:val="1"/>
      <w:numFmt w:val="lowerRoman"/>
      <w:lvlText w:val="%1."/>
      <w:lvlJc w:val="left"/>
      <w:pPr>
        <w:tabs>
          <w:tab w:val="num" w:pos="802"/>
        </w:tabs>
        <w:ind w:left="802" w:hanging="360"/>
      </w:pPr>
      <w:rPr>
        <w:rFonts w:hint="default"/>
      </w:rPr>
    </w:lvl>
    <w:lvl w:ilvl="1" w:tplc="04090003">
      <w:start w:val="1"/>
      <w:numFmt w:val="decimal"/>
      <w:lvlText w:val="%2."/>
      <w:lvlJc w:val="left"/>
      <w:pPr>
        <w:tabs>
          <w:tab w:val="num" w:pos="1522"/>
        </w:tabs>
        <w:ind w:left="1522" w:hanging="360"/>
      </w:pPr>
      <w:rPr>
        <w:rFonts w:hint="default"/>
      </w:rPr>
    </w:lvl>
    <w:lvl w:ilvl="2" w:tplc="04090005" w:tentative="1">
      <w:start w:val="1"/>
      <w:numFmt w:val="lowerRoman"/>
      <w:lvlText w:val="%3."/>
      <w:lvlJc w:val="right"/>
      <w:pPr>
        <w:tabs>
          <w:tab w:val="num" w:pos="2242"/>
        </w:tabs>
        <w:ind w:left="2242" w:hanging="180"/>
      </w:pPr>
    </w:lvl>
    <w:lvl w:ilvl="3" w:tplc="04090001" w:tentative="1">
      <w:start w:val="1"/>
      <w:numFmt w:val="decimal"/>
      <w:lvlText w:val="%4."/>
      <w:lvlJc w:val="left"/>
      <w:pPr>
        <w:tabs>
          <w:tab w:val="num" w:pos="2962"/>
        </w:tabs>
        <w:ind w:left="2962" w:hanging="360"/>
      </w:pPr>
    </w:lvl>
    <w:lvl w:ilvl="4" w:tplc="04090003" w:tentative="1">
      <w:start w:val="1"/>
      <w:numFmt w:val="lowerLetter"/>
      <w:lvlText w:val="%5."/>
      <w:lvlJc w:val="left"/>
      <w:pPr>
        <w:tabs>
          <w:tab w:val="num" w:pos="3682"/>
        </w:tabs>
        <w:ind w:left="3682" w:hanging="360"/>
      </w:pPr>
    </w:lvl>
    <w:lvl w:ilvl="5" w:tplc="04090005" w:tentative="1">
      <w:start w:val="1"/>
      <w:numFmt w:val="lowerRoman"/>
      <w:lvlText w:val="%6."/>
      <w:lvlJc w:val="right"/>
      <w:pPr>
        <w:tabs>
          <w:tab w:val="num" w:pos="4402"/>
        </w:tabs>
        <w:ind w:left="4402" w:hanging="180"/>
      </w:pPr>
    </w:lvl>
    <w:lvl w:ilvl="6" w:tplc="04090001" w:tentative="1">
      <w:start w:val="1"/>
      <w:numFmt w:val="decimal"/>
      <w:lvlText w:val="%7."/>
      <w:lvlJc w:val="left"/>
      <w:pPr>
        <w:tabs>
          <w:tab w:val="num" w:pos="5122"/>
        </w:tabs>
        <w:ind w:left="5122" w:hanging="360"/>
      </w:pPr>
    </w:lvl>
    <w:lvl w:ilvl="7" w:tplc="04090003" w:tentative="1">
      <w:start w:val="1"/>
      <w:numFmt w:val="lowerLetter"/>
      <w:lvlText w:val="%8."/>
      <w:lvlJc w:val="left"/>
      <w:pPr>
        <w:tabs>
          <w:tab w:val="num" w:pos="5842"/>
        </w:tabs>
        <w:ind w:left="5842" w:hanging="360"/>
      </w:pPr>
    </w:lvl>
    <w:lvl w:ilvl="8" w:tplc="04090005" w:tentative="1">
      <w:start w:val="1"/>
      <w:numFmt w:val="lowerRoman"/>
      <w:lvlText w:val="%9."/>
      <w:lvlJc w:val="right"/>
      <w:pPr>
        <w:tabs>
          <w:tab w:val="num" w:pos="6562"/>
        </w:tabs>
        <w:ind w:left="6562" w:hanging="180"/>
      </w:pPr>
    </w:lvl>
  </w:abstractNum>
  <w:abstractNum w:abstractNumId="26">
    <w:nsid w:val="56BE6F79"/>
    <w:multiLevelType w:val="singleLevel"/>
    <w:tmpl w:val="F258D16A"/>
    <w:name w:val="templateBullet4"/>
    <w:lvl w:ilvl="0">
      <w:start w:val="1"/>
      <w:numFmt w:val="bullet"/>
      <w:pStyle w:val="ListBullet4"/>
      <w:lvlText w:val="-"/>
      <w:lvlJc w:val="left"/>
      <w:pPr>
        <w:tabs>
          <w:tab w:val="num" w:pos="1757"/>
        </w:tabs>
        <w:ind w:left="1757" w:hanging="340"/>
      </w:pPr>
      <w:rPr>
        <w:rFonts w:ascii="Symbol" w:hAnsi="Symbol" w:cs="Times New Roman" w:hint="default"/>
        <w:b w:val="0"/>
        <w:i w:val="0"/>
        <w:sz w:val="22"/>
      </w:rPr>
    </w:lvl>
  </w:abstractNum>
  <w:abstractNum w:abstractNumId="27">
    <w:nsid w:val="570B0A41"/>
    <w:multiLevelType w:val="hybridMultilevel"/>
    <w:tmpl w:val="4D182296"/>
    <w:lvl w:ilvl="0" w:tplc="1FA2E8DC">
      <w:start w:val="1"/>
      <w:numFmt w:val="decimal"/>
      <w:lvlText w:val="%1."/>
      <w:lvlJc w:val="left"/>
      <w:pPr>
        <w:tabs>
          <w:tab w:val="num" w:pos="720"/>
        </w:tabs>
        <w:ind w:left="720" w:hanging="360"/>
      </w:pPr>
      <w:rPr>
        <w:rFonts w:hint="default"/>
      </w:rPr>
    </w:lvl>
    <w:lvl w:ilvl="1" w:tplc="24425994"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B23B5"/>
    <w:multiLevelType w:val="hybridMultilevel"/>
    <w:tmpl w:val="1220C47A"/>
    <w:lvl w:ilvl="0" w:tplc="04090001">
      <w:start w:val="1"/>
      <w:numFmt w:val="bullet"/>
      <w:lvlText w:val=""/>
      <w:lvlJc w:val="left"/>
      <w:pPr>
        <w:ind w:left="851" w:hanging="360"/>
      </w:pPr>
      <w:rPr>
        <w:rFonts w:ascii="Symbol" w:hAnsi="Symbol" w:hint="default"/>
      </w:rPr>
    </w:lvl>
    <w:lvl w:ilvl="1" w:tplc="04090003" w:tentative="1">
      <w:start w:val="1"/>
      <w:numFmt w:val="bullet"/>
      <w:lvlText w:val="o"/>
      <w:lvlJc w:val="left"/>
      <w:pPr>
        <w:ind w:left="1571" w:hanging="360"/>
      </w:pPr>
      <w:rPr>
        <w:rFonts w:ascii="Courier New" w:hAnsi="Courier New" w:cs="Courier New" w:hint="default"/>
      </w:rPr>
    </w:lvl>
    <w:lvl w:ilvl="2" w:tplc="04090005" w:tentative="1">
      <w:start w:val="1"/>
      <w:numFmt w:val="bullet"/>
      <w:lvlText w:val=""/>
      <w:lvlJc w:val="left"/>
      <w:pPr>
        <w:ind w:left="2291" w:hanging="360"/>
      </w:pPr>
      <w:rPr>
        <w:rFonts w:ascii="Wingdings" w:hAnsi="Wingdings" w:hint="default"/>
      </w:rPr>
    </w:lvl>
    <w:lvl w:ilvl="3" w:tplc="04090001" w:tentative="1">
      <w:start w:val="1"/>
      <w:numFmt w:val="bullet"/>
      <w:lvlText w:val=""/>
      <w:lvlJc w:val="left"/>
      <w:pPr>
        <w:ind w:left="3011" w:hanging="360"/>
      </w:pPr>
      <w:rPr>
        <w:rFonts w:ascii="Symbol" w:hAnsi="Symbol" w:hint="default"/>
      </w:rPr>
    </w:lvl>
    <w:lvl w:ilvl="4" w:tplc="04090003" w:tentative="1">
      <w:start w:val="1"/>
      <w:numFmt w:val="bullet"/>
      <w:lvlText w:val="o"/>
      <w:lvlJc w:val="left"/>
      <w:pPr>
        <w:ind w:left="3731" w:hanging="360"/>
      </w:pPr>
      <w:rPr>
        <w:rFonts w:ascii="Courier New" w:hAnsi="Courier New" w:cs="Courier New" w:hint="default"/>
      </w:rPr>
    </w:lvl>
    <w:lvl w:ilvl="5" w:tplc="04090005" w:tentative="1">
      <w:start w:val="1"/>
      <w:numFmt w:val="bullet"/>
      <w:lvlText w:val=""/>
      <w:lvlJc w:val="left"/>
      <w:pPr>
        <w:ind w:left="4451" w:hanging="360"/>
      </w:pPr>
      <w:rPr>
        <w:rFonts w:ascii="Wingdings" w:hAnsi="Wingdings" w:hint="default"/>
      </w:rPr>
    </w:lvl>
    <w:lvl w:ilvl="6" w:tplc="04090001" w:tentative="1">
      <w:start w:val="1"/>
      <w:numFmt w:val="bullet"/>
      <w:lvlText w:val=""/>
      <w:lvlJc w:val="left"/>
      <w:pPr>
        <w:ind w:left="5171" w:hanging="360"/>
      </w:pPr>
      <w:rPr>
        <w:rFonts w:ascii="Symbol" w:hAnsi="Symbol" w:hint="default"/>
      </w:rPr>
    </w:lvl>
    <w:lvl w:ilvl="7" w:tplc="04090003" w:tentative="1">
      <w:start w:val="1"/>
      <w:numFmt w:val="bullet"/>
      <w:lvlText w:val="o"/>
      <w:lvlJc w:val="left"/>
      <w:pPr>
        <w:ind w:left="5891" w:hanging="360"/>
      </w:pPr>
      <w:rPr>
        <w:rFonts w:ascii="Courier New" w:hAnsi="Courier New" w:cs="Courier New" w:hint="default"/>
      </w:rPr>
    </w:lvl>
    <w:lvl w:ilvl="8" w:tplc="04090005" w:tentative="1">
      <w:start w:val="1"/>
      <w:numFmt w:val="bullet"/>
      <w:lvlText w:val=""/>
      <w:lvlJc w:val="left"/>
      <w:pPr>
        <w:ind w:left="6611" w:hanging="360"/>
      </w:pPr>
      <w:rPr>
        <w:rFonts w:ascii="Wingdings" w:hAnsi="Wingdings" w:hint="default"/>
      </w:rPr>
    </w:lvl>
  </w:abstractNum>
  <w:abstractNum w:abstractNumId="29">
    <w:nsid w:val="5C8E0CA3"/>
    <w:multiLevelType w:val="singleLevel"/>
    <w:tmpl w:val="BCFCA2DE"/>
    <w:name w:val="templateBullet5"/>
    <w:lvl w:ilvl="0">
      <w:start w:val="1"/>
      <w:numFmt w:val="bullet"/>
      <w:pStyle w:val="ListBullet5"/>
      <w:lvlText w:val="-"/>
      <w:lvlJc w:val="left"/>
      <w:pPr>
        <w:tabs>
          <w:tab w:val="num" w:pos="2041"/>
        </w:tabs>
        <w:ind w:left="2041" w:hanging="340"/>
      </w:pPr>
      <w:rPr>
        <w:rFonts w:ascii="Symbol" w:hAnsi="Symbol" w:cs="Times New Roman" w:hint="default"/>
        <w:b w:val="0"/>
        <w:i w:val="0"/>
        <w:sz w:val="22"/>
      </w:rPr>
    </w:lvl>
  </w:abstractNum>
  <w:abstractNum w:abstractNumId="30">
    <w:nsid w:val="63E515CF"/>
    <w:multiLevelType w:val="singleLevel"/>
    <w:tmpl w:val="7A00B8A4"/>
    <w:name w:val="templateBulletBox1"/>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1">
    <w:nsid w:val="65F10EA6"/>
    <w:multiLevelType w:val="hybridMultilevel"/>
    <w:tmpl w:val="3F227ED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2">
    <w:nsid w:val="6BE4613F"/>
    <w:multiLevelType w:val="hybridMultilevel"/>
    <w:tmpl w:val="FB02058A"/>
    <w:name w:val="templateBullet12"/>
    <w:lvl w:ilvl="0" w:tplc="7C240C2E">
      <w:start w:val="1"/>
      <w:numFmt w:val="bullet"/>
      <w:lvlText w:val="-"/>
      <w:lvlJc w:val="left"/>
      <w:pPr>
        <w:tabs>
          <w:tab w:val="num" w:pos="283"/>
        </w:tabs>
        <w:ind w:left="283" w:hanging="283"/>
      </w:pPr>
      <w:rPr>
        <w:rFonts w:ascii="Times New Roman" w:hAnsi="Times New Roman" w:cs="Times New Roman"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33">
    <w:nsid w:val="73A2535E"/>
    <w:multiLevelType w:val="multilevel"/>
    <w:tmpl w:val="EFECEE22"/>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936705F"/>
    <w:multiLevelType w:val="hybridMultilevel"/>
    <w:tmpl w:val="5900DF92"/>
    <w:lvl w:ilvl="0" w:tplc="7C240C2E">
      <w:start w:val="1"/>
      <w:numFmt w:val="bullet"/>
      <w:lvlText w:val=""/>
      <w:lvlJc w:val="left"/>
      <w:pPr>
        <w:tabs>
          <w:tab w:val="num" w:pos="802"/>
        </w:tabs>
        <w:ind w:left="802" w:hanging="360"/>
      </w:pPr>
      <w:rPr>
        <w:rFonts w:ascii="Symbol" w:hAnsi="Symbol" w:hint="default"/>
      </w:rPr>
    </w:lvl>
    <w:lvl w:ilvl="1" w:tplc="08090003">
      <w:start w:val="1"/>
      <w:numFmt w:val="decimal"/>
      <w:lvlText w:val="%2."/>
      <w:lvlJc w:val="left"/>
      <w:pPr>
        <w:tabs>
          <w:tab w:val="num" w:pos="1522"/>
        </w:tabs>
        <w:ind w:left="1522" w:hanging="360"/>
      </w:pPr>
      <w:rPr>
        <w:rFonts w:hint="default"/>
      </w:rPr>
    </w:lvl>
    <w:lvl w:ilvl="2" w:tplc="08090005" w:tentative="1">
      <w:start w:val="1"/>
      <w:numFmt w:val="lowerRoman"/>
      <w:lvlText w:val="%3."/>
      <w:lvlJc w:val="right"/>
      <w:pPr>
        <w:tabs>
          <w:tab w:val="num" w:pos="2242"/>
        </w:tabs>
        <w:ind w:left="2242" w:hanging="180"/>
      </w:pPr>
    </w:lvl>
    <w:lvl w:ilvl="3" w:tplc="08090001" w:tentative="1">
      <w:start w:val="1"/>
      <w:numFmt w:val="decimal"/>
      <w:lvlText w:val="%4."/>
      <w:lvlJc w:val="left"/>
      <w:pPr>
        <w:tabs>
          <w:tab w:val="num" w:pos="2962"/>
        </w:tabs>
        <w:ind w:left="2962" w:hanging="360"/>
      </w:pPr>
    </w:lvl>
    <w:lvl w:ilvl="4" w:tplc="08090003" w:tentative="1">
      <w:start w:val="1"/>
      <w:numFmt w:val="lowerLetter"/>
      <w:lvlText w:val="%5."/>
      <w:lvlJc w:val="left"/>
      <w:pPr>
        <w:tabs>
          <w:tab w:val="num" w:pos="3682"/>
        </w:tabs>
        <w:ind w:left="3682" w:hanging="360"/>
      </w:pPr>
    </w:lvl>
    <w:lvl w:ilvl="5" w:tplc="08090005" w:tentative="1">
      <w:start w:val="1"/>
      <w:numFmt w:val="lowerRoman"/>
      <w:lvlText w:val="%6."/>
      <w:lvlJc w:val="right"/>
      <w:pPr>
        <w:tabs>
          <w:tab w:val="num" w:pos="4402"/>
        </w:tabs>
        <w:ind w:left="4402" w:hanging="180"/>
      </w:pPr>
    </w:lvl>
    <w:lvl w:ilvl="6" w:tplc="08090001" w:tentative="1">
      <w:start w:val="1"/>
      <w:numFmt w:val="decimal"/>
      <w:lvlText w:val="%7."/>
      <w:lvlJc w:val="left"/>
      <w:pPr>
        <w:tabs>
          <w:tab w:val="num" w:pos="5122"/>
        </w:tabs>
        <w:ind w:left="5122" w:hanging="360"/>
      </w:pPr>
    </w:lvl>
    <w:lvl w:ilvl="7" w:tplc="08090003" w:tentative="1">
      <w:start w:val="1"/>
      <w:numFmt w:val="lowerLetter"/>
      <w:lvlText w:val="%8."/>
      <w:lvlJc w:val="left"/>
      <w:pPr>
        <w:tabs>
          <w:tab w:val="num" w:pos="5842"/>
        </w:tabs>
        <w:ind w:left="5842" w:hanging="360"/>
      </w:pPr>
    </w:lvl>
    <w:lvl w:ilvl="8" w:tplc="08090005" w:tentative="1">
      <w:start w:val="1"/>
      <w:numFmt w:val="lowerRoman"/>
      <w:lvlText w:val="%9."/>
      <w:lvlJc w:val="right"/>
      <w:pPr>
        <w:tabs>
          <w:tab w:val="num" w:pos="6562"/>
        </w:tabs>
        <w:ind w:left="6562" w:hanging="180"/>
      </w:pPr>
    </w:lvl>
  </w:abstractNum>
  <w:num w:numId="1">
    <w:abstractNumId w:val="8"/>
  </w:num>
  <w:num w:numId="2">
    <w:abstractNumId w:val="5"/>
  </w:num>
  <w:num w:numId="3">
    <w:abstractNumId w:val="6"/>
  </w:num>
  <w:num w:numId="4">
    <w:abstractNumId w:val="19"/>
  </w:num>
  <w:num w:numId="5">
    <w:abstractNumId w:val="2"/>
  </w:num>
  <w:num w:numId="6">
    <w:abstractNumId w:val="13"/>
  </w:num>
  <w:num w:numId="7">
    <w:abstractNumId w:val="20"/>
  </w:num>
  <w:num w:numId="8">
    <w:abstractNumId w:val="26"/>
  </w:num>
  <w:num w:numId="9">
    <w:abstractNumId w:val="29"/>
  </w:num>
  <w:num w:numId="10">
    <w:abstractNumId w:val="16"/>
  </w:num>
  <w:num w:numId="11">
    <w:abstractNumId w:val="30"/>
  </w:num>
  <w:num w:numId="12">
    <w:abstractNumId w:val="22"/>
  </w:num>
  <w:num w:numId="13">
    <w:abstractNumId w:val="4"/>
  </w:num>
  <w:num w:numId="14">
    <w:abstractNumId w:val="15"/>
  </w:num>
  <w:num w:numId="15">
    <w:abstractNumId w:val="9"/>
  </w:num>
  <w:num w:numId="16">
    <w:abstractNumId w:val="12"/>
  </w:num>
  <w:num w:numId="17">
    <w:abstractNumId w:val="33"/>
  </w:num>
  <w:num w:numId="18">
    <w:abstractNumId w:val="14"/>
  </w:num>
  <w:num w:numId="19">
    <w:abstractNumId w:val="32"/>
  </w:num>
  <w:num w:numId="20">
    <w:abstractNumId w:val="1"/>
  </w:num>
  <w:num w:numId="21">
    <w:abstractNumId w:val="24"/>
  </w:num>
  <w:num w:numId="22">
    <w:abstractNumId w:val="23"/>
  </w:num>
  <w:num w:numId="23">
    <w:abstractNumId w:val="27"/>
  </w:num>
  <w:num w:numId="24">
    <w:abstractNumId w:val="25"/>
  </w:num>
  <w:num w:numId="25">
    <w:abstractNumId w:val="34"/>
  </w:num>
  <w:num w:numId="26">
    <w:abstractNumId w:val="21"/>
  </w:num>
  <w:num w:numId="27">
    <w:abstractNumId w:val="10"/>
  </w:num>
  <w:num w:numId="28">
    <w:abstractNumId w:val="3"/>
  </w:num>
  <w:num w:numId="29">
    <w:abstractNumId w:val="7"/>
  </w:num>
  <w:num w:numId="30">
    <w:abstractNumId w:val="17"/>
  </w:num>
  <w:num w:numId="31">
    <w:abstractNumId w:val="11"/>
  </w:num>
  <w:num w:numId="32">
    <w:abstractNumId w:val="28"/>
  </w:num>
  <w:num w:numId="33">
    <w:abstractNumId w:val="31"/>
  </w:num>
  <w:num w:numId="34">
    <w:abstractNumId w:val="18"/>
  </w:num>
  <w:num w:numId="35">
    <w:abstractNumId w:val="0"/>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evenAndOddHeaders/>
  <w:drawingGridHorizontalSpacing w:val="110"/>
  <w:displayHorizontalDrawingGridEvery w:val="0"/>
  <w:displayVerticalDrawingGridEvery w:val="0"/>
  <w:noPunctuationKerning/>
  <w:characterSpacingControl w:val="doNotCompress"/>
  <w:hdrShapeDefaults>
    <o:shapedefaults v:ext="edit" spidmax="49153"/>
  </w:hdrShapeDefaults>
  <w:footnotePr>
    <w:footnote w:id="-1"/>
    <w:footnote w:id="0"/>
  </w:footnotePr>
  <w:endnotePr>
    <w:pos w:val="sectEnd"/>
    <w:numFmt w:val="decimal"/>
    <w:endnote w:id="-1"/>
    <w:endnote w:id="0"/>
  </w:endnotePr>
  <w:compat>
    <w:compatSetting w:name="compatibilityMode" w:uri="http://schemas.microsoft.com/office/word" w:val="12"/>
  </w:compat>
  <w:docVars>
    <w:docVar w:name="Classification" w:val="For Official Use"/>
    <w:docVar w:name="Cote" w:val="TAD/FI(2015)17"/>
    <w:docVar w:name="DOCTYPE" w:val="NORMAL"/>
    <w:docVar w:name="DocumentStyle" w:val="Standard OECD document"/>
    <w:docVar w:name="IsPublication" w:val="0"/>
    <w:docVar w:name="Language" w:val="English"/>
    <w:docVar w:name="PGLANDSCAPE" w:val="0"/>
    <w:docVar w:name="SEND_TO_RMS" w:val="1"/>
  </w:docVars>
  <w:rsids>
    <w:rsidRoot w:val="00D03B78"/>
    <w:rsid w:val="000053C1"/>
    <w:rsid w:val="00043A04"/>
    <w:rsid w:val="00075A6C"/>
    <w:rsid w:val="00080441"/>
    <w:rsid w:val="00085746"/>
    <w:rsid w:val="000D5306"/>
    <w:rsid w:val="000E1A55"/>
    <w:rsid w:val="000F5C4E"/>
    <w:rsid w:val="00111D21"/>
    <w:rsid w:val="00123AD1"/>
    <w:rsid w:val="00125645"/>
    <w:rsid w:val="00143C8B"/>
    <w:rsid w:val="00146F24"/>
    <w:rsid w:val="001844B0"/>
    <w:rsid w:val="001C07B9"/>
    <w:rsid w:val="001D0B69"/>
    <w:rsid w:val="001D39F5"/>
    <w:rsid w:val="00204375"/>
    <w:rsid w:val="00205BBA"/>
    <w:rsid w:val="00211627"/>
    <w:rsid w:val="002234C0"/>
    <w:rsid w:val="0024428B"/>
    <w:rsid w:val="002472E1"/>
    <w:rsid w:val="002513F8"/>
    <w:rsid w:val="002666FF"/>
    <w:rsid w:val="002A6ED9"/>
    <w:rsid w:val="002E7A14"/>
    <w:rsid w:val="0030014E"/>
    <w:rsid w:val="003109F7"/>
    <w:rsid w:val="003217FF"/>
    <w:rsid w:val="00334A02"/>
    <w:rsid w:val="003524DE"/>
    <w:rsid w:val="00355638"/>
    <w:rsid w:val="00356904"/>
    <w:rsid w:val="00382633"/>
    <w:rsid w:val="0038276E"/>
    <w:rsid w:val="00391132"/>
    <w:rsid w:val="0039317C"/>
    <w:rsid w:val="00396439"/>
    <w:rsid w:val="003A1E2E"/>
    <w:rsid w:val="003A4CF3"/>
    <w:rsid w:val="003C56A9"/>
    <w:rsid w:val="0042183E"/>
    <w:rsid w:val="0042415E"/>
    <w:rsid w:val="00427A5D"/>
    <w:rsid w:val="004A2D61"/>
    <w:rsid w:val="004D2150"/>
    <w:rsid w:val="004E1B8E"/>
    <w:rsid w:val="00502706"/>
    <w:rsid w:val="00510D85"/>
    <w:rsid w:val="00513766"/>
    <w:rsid w:val="0052644B"/>
    <w:rsid w:val="00565A8C"/>
    <w:rsid w:val="00595215"/>
    <w:rsid w:val="005C05C3"/>
    <w:rsid w:val="005C7E6A"/>
    <w:rsid w:val="005D0C2E"/>
    <w:rsid w:val="005D797C"/>
    <w:rsid w:val="005E61B4"/>
    <w:rsid w:val="0061201B"/>
    <w:rsid w:val="00617096"/>
    <w:rsid w:val="006170FA"/>
    <w:rsid w:val="006311B1"/>
    <w:rsid w:val="00661295"/>
    <w:rsid w:val="00661DDC"/>
    <w:rsid w:val="006778D6"/>
    <w:rsid w:val="00680416"/>
    <w:rsid w:val="006B45AC"/>
    <w:rsid w:val="006C125F"/>
    <w:rsid w:val="006D1C3C"/>
    <w:rsid w:val="006D2EA9"/>
    <w:rsid w:val="007633DA"/>
    <w:rsid w:val="00770566"/>
    <w:rsid w:val="00777C0C"/>
    <w:rsid w:val="00784546"/>
    <w:rsid w:val="007B3974"/>
    <w:rsid w:val="007B4CE8"/>
    <w:rsid w:val="007C1498"/>
    <w:rsid w:val="007D0BB6"/>
    <w:rsid w:val="007D4D28"/>
    <w:rsid w:val="007D4E12"/>
    <w:rsid w:val="007D6105"/>
    <w:rsid w:val="007F14E3"/>
    <w:rsid w:val="007F5069"/>
    <w:rsid w:val="00821336"/>
    <w:rsid w:val="00825E6E"/>
    <w:rsid w:val="00870A8A"/>
    <w:rsid w:val="00884457"/>
    <w:rsid w:val="008A4280"/>
    <w:rsid w:val="008D6B86"/>
    <w:rsid w:val="00925D11"/>
    <w:rsid w:val="009330FF"/>
    <w:rsid w:val="009449D5"/>
    <w:rsid w:val="00947D13"/>
    <w:rsid w:val="009557B7"/>
    <w:rsid w:val="00961FFA"/>
    <w:rsid w:val="00964BDA"/>
    <w:rsid w:val="00970D28"/>
    <w:rsid w:val="00994BDF"/>
    <w:rsid w:val="009A0926"/>
    <w:rsid w:val="009A4EF3"/>
    <w:rsid w:val="009B25E2"/>
    <w:rsid w:val="009B773F"/>
    <w:rsid w:val="009C003F"/>
    <w:rsid w:val="009E5F90"/>
    <w:rsid w:val="009F1112"/>
    <w:rsid w:val="00A153B9"/>
    <w:rsid w:val="00A22DB4"/>
    <w:rsid w:val="00A56C58"/>
    <w:rsid w:val="00A75C11"/>
    <w:rsid w:val="00A808C5"/>
    <w:rsid w:val="00AA2441"/>
    <w:rsid w:val="00AB57F3"/>
    <w:rsid w:val="00AC0669"/>
    <w:rsid w:val="00AC3AD7"/>
    <w:rsid w:val="00AC7DB7"/>
    <w:rsid w:val="00AD071A"/>
    <w:rsid w:val="00AD3FDF"/>
    <w:rsid w:val="00AE2C56"/>
    <w:rsid w:val="00AE785E"/>
    <w:rsid w:val="00AF4353"/>
    <w:rsid w:val="00AF74AC"/>
    <w:rsid w:val="00B02DA6"/>
    <w:rsid w:val="00B12A3F"/>
    <w:rsid w:val="00B36AEE"/>
    <w:rsid w:val="00BA6E30"/>
    <w:rsid w:val="00BB3B06"/>
    <w:rsid w:val="00BC5592"/>
    <w:rsid w:val="00BC6EC0"/>
    <w:rsid w:val="00C0208D"/>
    <w:rsid w:val="00C16D87"/>
    <w:rsid w:val="00C17578"/>
    <w:rsid w:val="00C328FC"/>
    <w:rsid w:val="00C43386"/>
    <w:rsid w:val="00C4605B"/>
    <w:rsid w:val="00C56BA4"/>
    <w:rsid w:val="00CA3902"/>
    <w:rsid w:val="00CC5DE2"/>
    <w:rsid w:val="00CD7B52"/>
    <w:rsid w:val="00D03B78"/>
    <w:rsid w:val="00D17AD5"/>
    <w:rsid w:val="00D4279B"/>
    <w:rsid w:val="00D47D15"/>
    <w:rsid w:val="00D67F94"/>
    <w:rsid w:val="00D86DE7"/>
    <w:rsid w:val="00D92CF5"/>
    <w:rsid w:val="00DA2884"/>
    <w:rsid w:val="00DA5854"/>
    <w:rsid w:val="00DA716E"/>
    <w:rsid w:val="00DD2F33"/>
    <w:rsid w:val="00DD5BD8"/>
    <w:rsid w:val="00DE0F0E"/>
    <w:rsid w:val="00DF11BE"/>
    <w:rsid w:val="00E061B3"/>
    <w:rsid w:val="00E15818"/>
    <w:rsid w:val="00E20CBA"/>
    <w:rsid w:val="00E3190F"/>
    <w:rsid w:val="00E37347"/>
    <w:rsid w:val="00E5053A"/>
    <w:rsid w:val="00E661CC"/>
    <w:rsid w:val="00E91DC9"/>
    <w:rsid w:val="00E97454"/>
    <w:rsid w:val="00EA4065"/>
    <w:rsid w:val="00EA64B8"/>
    <w:rsid w:val="00EB4C25"/>
    <w:rsid w:val="00ED262E"/>
    <w:rsid w:val="00F115E4"/>
    <w:rsid w:val="00F1445B"/>
    <w:rsid w:val="00F31CFB"/>
    <w:rsid w:val="00F421ED"/>
    <w:rsid w:val="00F644AE"/>
    <w:rsid w:val="00F67E94"/>
    <w:rsid w:val="00F81646"/>
    <w:rsid w:val="00F9664A"/>
    <w:rsid w:val="00FA6768"/>
    <w:rsid w:val="00FA7DB8"/>
    <w:rsid w:val="00FB41D7"/>
    <w:rsid w:val="00FB71B5"/>
    <w:rsid w:val="00FC385E"/>
    <w:rsid w:val="00FC54F2"/>
    <w:rsid w:val="00FD3FC1"/>
    <w:rsid w:val="00FD4DC9"/>
    <w:rsid w:val="00FD7D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qFormat="1"/>
    <w:lsdException w:name="toc 2" w:semiHidden="0" w:uiPriority="39" w:qFormat="1"/>
    <w:lsdException w:name="toc 3" w:semiHidden="0" w:uiPriority="39" w:qFormat="1"/>
    <w:lsdException w:name="toc 4" w:semiHidden="0" w:uiPriority="39" w:qFormat="1"/>
    <w:lsdException w:name="toc 5" w:semiHidden="0" w:qFormat="1"/>
    <w:lsdException w:name="toc 6" w:semiHidden="0" w:qFormat="1"/>
    <w:lsdException w:name="toc 7" w:semiHidden="0" w:qFormat="1"/>
    <w:lsdException w:name="toc 8" w:semiHidden="0" w:qFormat="1"/>
    <w:lsdException w:name="toc 9" w:semiHidden="0" w:qFormat="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iPriority="99" w:unhideWhenUsed="1"/>
    <w:lsdException w:name="page number" w:uiPriority="99" w:unhideWhenUsed="1"/>
    <w:lsdException w:name="endnote reference" w:uiPriority="99"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99"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iPriority="99"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lsdException w:name="HTML Acronym" w:uiPriority="99" w:unhideWhenUsed="1"/>
    <w:lsdException w:name="HTML Address" w:unhideWhenUsed="1"/>
    <w:lsdException w:name="HTML Cite" w:uiPriority="99" w:unhideWhenUsed="1"/>
    <w:lsdException w:name="HTML Code" w:uiPriority="99" w:unhideWhenUsed="1"/>
    <w:lsdException w:name="HTML Definition" w:uiPriority="99" w:unhideWhenUsed="1"/>
    <w:lsdException w:name="HTML Keyboard" w:uiPriority="99" w:unhideWhenUsed="1"/>
    <w:lsdException w:name="HTML Preformatted" w:unhideWhenUsed="1"/>
    <w:lsdException w:name="HTML Sample" w:uiPriority="99" w:unhideWhenUsed="1"/>
    <w:lsdException w:name="HTML Typewriter" w:uiPriority="99" w:unhideWhenUsed="1"/>
    <w:lsdException w:name="HTML Variable" w:uiPriority="99"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unhideWhenUsed="1"/>
    <w:lsdException w:name="Table Grid" w:semiHidden="0" w:uiPriority="59"/>
    <w:lsdException w:name="Table Theme" w:uiPriority="99"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tabs>
        <w:tab w:val="left" w:pos="850"/>
        <w:tab w:val="left" w:pos="1191"/>
        <w:tab w:val="left" w:pos="1531"/>
      </w:tabs>
      <w:jc w:val="both"/>
    </w:pPr>
    <w:rPr>
      <w:sz w:val="22"/>
      <w:szCs w:val="22"/>
      <w:lang w:val="en-GB" w:eastAsia="zh-CN"/>
    </w:rPr>
  </w:style>
  <w:style w:type="paragraph" w:styleId="Heading1">
    <w:name w:val="heading 1"/>
    <w:basedOn w:val="Normal"/>
    <w:next w:val="Num-DocParagraph"/>
    <w:link w:val="Heading1Char"/>
    <w:qFormat/>
    <w:pPr>
      <w:keepNext/>
      <w:spacing w:before="1200" w:after="720"/>
      <w:jc w:val="center"/>
      <w:outlineLvl w:val="0"/>
    </w:pPr>
    <w:rPr>
      <w:b/>
      <w:bCs/>
      <w:caps/>
      <w:kern w:val="28"/>
    </w:rPr>
  </w:style>
  <w:style w:type="paragraph" w:styleId="Heading2">
    <w:name w:val="heading 2"/>
    <w:basedOn w:val="Normal"/>
    <w:next w:val="Num-DocParagraph"/>
    <w:link w:val="Heading2Char"/>
    <w:qFormat/>
    <w:pPr>
      <w:keepNext/>
      <w:spacing w:before="240" w:after="240"/>
      <w:outlineLvl w:val="1"/>
    </w:pPr>
    <w:rPr>
      <w:b/>
      <w:bCs/>
    </w:rPr>
  </w:style>
  <w:style w:type="paragraph" w:styleId="Heading3">
    <w:name w:val="heading 3"/>
    <w:basedOn w:val="Normal"/>
    <w:next w:val="Num-DocParagraph"/>
    <w:link w:val="Heading3Char"/>
    <w:qFormat/>
    <w:pPr>
      <w:keepNext/>
      <w:spacing w:before="240" w:after="240"/>
      <w:outlineLvl w:val="2"/>
    </w:pPr>
    <w:rPr>
      <w:b/>
      <w:bCs/>
      <w:i/>
      <w:iCs/>
    </w:rPr>
  </w:style>
  <w:style w:type="paragraph" w:styleId="Heading4">
    <w:name w:val="heading 4"/>
    <w:basedOn w:val="Normal"/>
    <w:next w:val="Num-DocParagraph"/>
    <w:link w:val="Heading4Char"/>
    <w:qFormat/>
    <w:pPr>
      <w:keepNext/>
      <w:spacing w:before="240" w:after="240"/>
      <w:outlineLvl w:val="3"/>
    </w:pPr>
    <w:rPr>
      <w:i/>
      <w:iCs/>
    </w:rPr>
  </w:style>
  <w:style w:type="paragraph" w:styleId="Heading5">
    <w:name w:val="heading 5"/>
    <w:basedOn w:val="Normal"/>
    <w:next w:val="Num-DocParagraph"/>
    <w:link w:val="Heading5Char"/>
    <w:qFormat/>
    <w:pPr>
      <w:spacing w:before="240" w:after="240"/>
      <w:outlineLvl w:val="4"/>
    </w:pPr>
  </w:style>
  <w:style w:type="paragraph" w:styleId="Heading6">
    <w:name w:val="heading 6"/>
    <w:basedOn w:val="Normal"/>
    <w:next w:val="Normal"/>
    <w:link w:val="Heading6Char"/>
    <w:qFormat/>
    <w:pPr>
      <w:spacing w:before="240" w:after="60"/>
      <w:outlineLvl w:val="5"/>
    </w:pPr>
    <w:rPr>
      <w:b/>
      <w:bCs/>
    </w:rPr>
  </w:style>
  <w:style w:type="paragraph" w:styleId="Heading7">
    <w:name w:val="heading 7"/>
    <w:basedOn w:val="Normal"/>
    <w:next w:val="Normal"/>
    <w:link w:val="Heading7Char"/>
    <w:qFormat/>
    <w:pPr>
      <w:spacing w:before="240" w:after="60"/>
      <w:outlineLvl w:val="6"/>
    </w:pPr>
    <w:rPr>
      <w:sz w:val="24"/>
      <w:szCs w:val="24"/>
    </w:rPr>
  </w:style>
  <w:style w:type="paragraph" w:styleId="Heading8">
    <w:name w:val="heading 8"/>
    <w:basedOn w:val="Normal"/>
    <w:next w:val="Normal"/>
    <w:link w:val="Heading8Char"/>
    <w:qFormat/>
    <w:pPr>
      <w:spacing w:before="240" w:after="60"/>
      <w:outlineLvl w:val="7"/>
    </w:pPr>
    <w:rPr>
      <w:i/>
      <w:iCs/>
      <w:sz w:val="24"/>
      <w:szCs w:val="24"/>
    </w:rPr>
  </w:style>
  <w:style w:type="paragraph" w:styleId="Heading9">
    <w:name w:val="heading 9"/>
    <w:basedOn w:val="Normal"/>
    <w:next w:val="Normal"/>
    <w:link w:val="Heading9Char"/>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
    <w:name w:val="Annex Heading"/>
    <w:basedOn w:val="Normal"/>
    <w:next w:val="BodyText"/>
    <w:pPr>
      <w:keepNext/>
      <w:spacing w:before="1200" w:after="720"/>
      <w:jc w:val="center"/>
    </w:pPr>
    <w:rPr>
      <w:b/>
      <w:bCs/>
      <w:caps/>
    </w:rPr>
  </w:style>
  <w:style w:type="paragraph" w:styleId="BodyText">
    <w:name w:val="Body Text"/>
    <w:aliases w:val="text,Body Text2"/>
    <w:basedOn w:val="Normal"/>
    <w:link w:val="BodyTextChar"/>
    <w:pPr>
      <w:spacing w:after="240"/>
      <w:ind w:firstLine="442"/>
    </w:pPr>
  </w:style>
  <w:style w:type="paragraph" w:customStyle="1" w:styleId="Annotation">
    <w:name w:val="Annotation"/>
    <w:basedOn w:val="BodyText"/>
    <w:pPr>
      <w:ind w:firstLine="0"/>
      <w:jc w:val="left"/>
    </w:pPr>
    <w:rPr>
      <w:b/>
      <w:bCs/>
      <w:i/>
      <w:iCs/>
    </w:rPr>
  </w:style>
  <w:style w:type="paragraph" w:customStyle="1" w:styleId="AppendixHeading">
    <w:name w:val="Appendix Heading"/>
    <w:basedOn w:val="Normal"/>
    <w:next w:val="BodyText"/>
    <w:pPr>
      <w:keepNext/>
      <w:spacing w:before="1200" w:after="720"/>
      <w:jc w:val="center"/>
    </w:pPr>
    <w:rPr>
      <w:b/>
      <w:bCs/>
      <w:caps/>
    </w:rPr>
  </w:style>
  <w:style w:type="paragraph" w:customStyle="1" w:styleId="Biblio-Entry">
    <w:name w:val="Biblio-Entry"/>
    <w:basedOn w:val="BodyText"/>
    <w:pPr>
      <w:ind w:left="567" w:hanging="567"/>
      <w:jc w:val="left"/>
    </w:pPr>
  </w:style>
  <w:style w:type="paragraph" w:customStyle="1" w:styleId="BibliographyHeading">
    <w:name w:val="Bibliography Heading"/>
    <w:basedOn w:val="Normal"/>
    <w:next w:val="Biblio-Entry"/>
    <w:pPr>
      <w:keepNext/>
      <w:spacing w:before="1200" w:after="720"/>
      <w:jc w:val="center"/>
    </w:pPr>
    <w:rPr>
      <w:b/>
      <w:bCs/>
      <w:caps/>
    </w:rPr>
  </w:style>
  <w:style w:type="paragraph" w:customStyle="1" w:styleId="BoxHeading">
    <w:name w:val="Box Heading"/>
    <w:basedOn w:val="Normal"/>
    <w:next w:val="BoxBodyText"/>
    <w:link w:val="BoxHeadingChar"/>
    <w:pPr>
      <w:spacing w:before="240" w:after="240"/>
      <w:jc w:val="center"/>
    </w:pPr>
    <w:rPr>
      <w:rFonts w:ascii="Arial" w:hAnsi="Arial" w:cs="Arial"/>
      <w:b/>
      <w:bCs/>
      <w:sz w:val="18"/>
    </w:rPr>
  </w:style>
  <w:style w:type="paragraph" w:customStyle="1" w:styleId="Cell">
    <w:name w:val="Cell"/>
    <w:basedOn w:val="Normal"/>
    <w:pPr>
      <w:tabs>
        <w:tab w:val="clear" w:pos="850"/>
        <w:tab w:val="clear" w:pos="1191"/>
        <w:tab w:val="clear" w:pos="1531"/>
      </w:tabs>
      <w:jc w:val="left"/>
    </w:pPr>
    <w:rPr>
      <w:rFonts w:ascii="Arial" w:hAnsi="Arial" w:cs="Arial"/>
      <w:sz w:val="18"/>
      <w:szCs w:val="18"/>
    </w:rPr>
  </w:style>
  <w:style w:type="paragraph" w:customStyle="1" w:styleId="ColumnsHeading">
    <w:name w:val="Columns Heading"/>
    <w:basedOn w:val="Normal"/>
    <w:pPr>
      <w:tabs>
        <w:tab w:val="clear" w:pos="850"/>
        <w:tab w:val="clear" w:pos="1191"/>
        <w:tab w:val="clear" w:pos="1531"/>
      </w:tabs>
      <w:jc w:val="center"/>
    </w:pPr>
    <w:rPr>
      <w:rFonts w:ascii="Arial" w:hAnsi="Arial" w:cs="Arial"/>
      <w:sz w:val="18"/>
      <w:szCs w:val="18"/>
    </w:rPr>
  </w:style>
  <w:style w:type="paragraph" w:customStyle="1" w:styleId="ConclusionHeading">
    <w:name w:val="Conclusion Heading"/>
    <w:basedOn w:val="Normal"/>
    <w:next w:val="BodyText"/>
    <w:pPr>
      <w:keepNext/>
      <w:spacing w:before="1200" w:after="720"/>
      <w:jc w:val="center"/>
    </w:pPr>
    <w:rPr>
      <w:b/>
      <w:bCs/>
      <w:caps/>
    </w:rPr>
  </w:style>
  <w:style w:type="paragraph" w:customStyle="1" w:styleId="DefinitionList">
    <w:name w:val="Definition List"/>
    <w:basedOn w:val="BodyText"/>
    <w:pPr>
      <w:tabs>
        <w:tab w:val="clear" w:pos="850"/>
        <w:tab w:val="clear" w:pos="1191"/>
        <w:tab w:val="clear" w:pos="1531"/>
      </w:tabs>
      <w:ind w:left="1984" w:hanging="1984"/>
      <w:jc w:val="center"/>
    </w:pPr>
  </w:style>
  <w:style w:type="paragraph" w:styleId="EndnoteText">
    <w:name w:val="endnote text"/>
    <w:basedOn w:val="Normal"/>
    <w:link w:val="EndnoteTextChar"/>
    <w:semiHidden/>
    <w:pPr>
      <w:spacing w:after="240"/>
      <w:ind w:left="850" w:hanging="850"/>
    </w:pPr>
    <w:rPr>
      <w:sz w:val="20"/>
      <w:szCs w:val="20"/>
    </w:rPr>
  </w:style>
  <w:style w:type="paragraph" w:customStyle="1" w:styleId="EndnotesHeading">
    <w:name w:val="Endnotes Heading"/>
    <w:basedOn w:val="Normal"/>
    <w:next w:val="BodyText"/>
    <w:pPr>
      <w:keepNext/>
      <w:spacing w:before="1200" w:after="480"/>
      <w:jc w:val="center"/>
    </w:pPr>
    <w:rPr>
      <w:b/>
      <w:bCs/>
      <w:caps/>
    </w:rPr>
  </w:style>
  <w:style w:type="paragraph" w:customStyle="1" w:styleId="ExecutiveSummaryHeading">
    <w:name w:val="Executive Summary Heading"/>
    <w:basedOn w:val="Normal"/>
    <w:next w:val="BodyText"/>
    <w:pPr>
      <w:keepNext/>
      <w:spacing w:before="1200" w:after="720"/>
      <w:jc w:val="center"/>
    </w:pPr>
    <w:rPr>
      <w:b/>
      <w:bCs/>
      <w:caps/>
    </w:rPr>
  </w:style>
  <w:style w:type="paragraph" w:customStyle="1" w:styleId="FigureNote">
    <w:name w:val="Figure Note"/>
    <w:basedOn w:val="Normal"/>
    <w:link w:val="FigureNoteChar"/>
    <w:pPr>
      <w:spacing w:after="120"/>
    </w:pPr>
    <w:rPr>
      <w:rFonts w:ascii="Arial" w:hAnsi="Arial" w:cs="Arial"/>
      <w:sz w:val="16"/>
      <w:szCs w:val="18"/>
    </w:rPr>
  </w:style>
  <w:style w:type="paragraph" w:customStyle="1" w:styleId="FigureSub-title">
    <w:name w:val="Figure Sub-title"/>
    <w:basedOn w:val="Normal"/>
    <w:pPr>
      <w:keepNext/>
      <w:spacing w:after="120"/>
      <w:jc w:val="center"/>
    </w:pPr>
    <w:rPr>
      <w:rFonts w:ascii="Arial" w:hAnsi="Arial" w:cs="Arial"/>
      <w:sz w:val="18"/>
    </w:rPr>
  </w:style>
  <w:style w:type="paragraph" w:customStyle="1" w:styleId="FigureTitle">
    <w:name w:val="Figure Title"/>
    <w:basedOn w:val="Normal"/>
    <w:next w:val="FigureSub-title"/>
    <w:pPr>
      <w:keepNext/>
      <w:spacing w:after="240"/>
      <w:jc w:val="center"/>
    </w:pPr>
    <w:rPr>
      <w:rFonts w:ascii="Arial" w:hAnsi="Arial" w:cs="Arial"/>
      <w:b/>
      <w:bCs/>
      <w:sz w:val="18"/>
    </w:rPr>
  </w:style>
  <w:style w:type="character" w:styleId="FootnoteReference">
    <w:name w:val="footnote reference"/>
    <w:basedOn w:val="DefaultParagraphFont"/>
    <w:semiHidden/>
    <w:rPr>
      <w:vertAlign w:val="superscript"/>
    </w:rPr>
  </w:style>
  <w:style w:type="paragraph" w:styleId="FootnoteText">
    <w:name w:val="footnote text"/>
    <w:aliases w:val="Fußnotentext Char,fn,Footnote ak,FußnotentextE,Footnote ak Carattere"/>
    <w:basedOn w:val="Normal"/>
    <w:link w:val="FootnoteTextChar"/>
    <w:semiHidden/>
    <w:pPr>
      <w:spacing w:after="120"/>
      <w:ind w:left="850" w:hanging="850"/>
    </w:pPr>
    <w:rPr>
      <w:sz w:val="20"/>
      <w:szCs w:val="20"/>
    </w:rPr>
  </w:style>
  <w:style w:type="paragraph" w:customStyle="1" w:styleId="ForewordHeading">
    <w:name w:val="Foreword Heading"/>
    <w:basedOn w:val="Normal"/>
    <w:next w:val="BodyText"/>
    <w:pPr>
      <w:keepNext/>
      <w:spacing w:before="1200" w:after="720"/>
      <w:jc w:val="center"/>
    </w:pPr>
    <w:rPr>
      <w:b/>
      <w:bCs/>
      <w:caps/>
    </w:rPr>
  </w:style>
  <w:style w:type="paragraph" w:customStyle="1" w:styleId="GlossaryHeading">
    <w:name w:val="Glossary Heading"/>
    <w:basedOn w:val="Normal"/>
    <w:next w:val="BodyText"/>
    <w:pPr>
      <w:keepNext/>
      <w:spacing w:before="1200" w:after="720"/>
      <w:jc w:val="center"/>
    </w:pPr>
    <w:rPr>
      <w:b/>
      <w:bCs/>
      <w:caps/>
    </w:rPr>
  </w:style>
  <w:style w:type="paragraph" w:customStyle="1" w:styleId="Graphic">
    <w:name w:val="Graphic"/>
    <w:basedOn w:val="Normal"/>
    <w:next w:val="BodyText"/>
    <w:pPr>
      <w:spacing w:after="240"/>
      <w:jc w:val="center"/>
    </w:pPr>
  </w:style>
  <w:style w:type="paragraph" w:customStyle="1" w:styleId="HiddenText">
    <w:name w:val="Hidden Text"/>
    <w:basedOn w:val="BodyText"/>
    <w:pPr>
      <w:keepNext/>
      <w:spacing w:after="0"/>
      <w:ind w:left="442" w:firstLine="0"/>
    </w:pPr>
    <w:rPr>
      <w:sz w:val="2"/>
      <w:szCs w:val="2"/>
    </w:rPr>
  </w:style>
  <w:style w:type="paragraph" w:customStyle="1" w:styleId="Highlight">
    <w:name w:val="Highlight"/>
    <w:basedOn w:val="BodyText"/>
    <w:pPr>
      <w:ind w:left="442" w:firstLine="0"/>
    </w:pPr>
    <w:rPr>
      <w:i/>
      <w:iCs/>
    </w:rPr>
  </w:style>
  <w:style w:type="paragraph" w:customStyle="1" w:styleId="HighlightHeading">
    <w:name w:val="Highlight Heading"/>
    <w:basedOn w:val="Normal"/>
    <w:next w:val="BodyText"/>
    <w:pPr>
      <w:keepNext/>
      <w:spacing w:before="1200" w:after="720"/>
      <w:jc w:val="center"/>
    </w:pPr>
    <w:rPr>
      <w:b/>
      <w:bCs/>
      <w:caps/>
    </w:rPr>
  </w:style>
  <w:style w:type="paragraph" w:styleId="Index1">
    <w:name w:val="index 1"/>
    <w:basedOn w:val="Normal"/>
    <w:next w:val="Normal"/>
    <w:semiHidden/>
    <w:pPr>
      <w:ind w:left="220" w:hanging="220"/>
    </w:pPr>
  </w:style>
  <w:style w:type="paragraph" w:styleId="IndexHeading">
    <w:name w:val="index heading"/>
    <w:basedOn w:val="Normal"/>
    <w:next w:val="BodyText"/>
    <w:semiHidden/>
    <w:pPr>
      <w:keepNext/>
      <w:spacing w:before="1200" w:after="720"/>
      <w:jc w:val="center"/>
    </w:pPr>
    <w:rPr>
      <w:b/>
      <w:bCs/>
      <w:caps/>
    </w:rPr>
  </w:style>
  <w:style w:type="paragraph" w:customStyle="1" w:styleId="IntroductionHeading">
    <w:name w:val="Introduction Heading"/>
    <w:basedOn w:val="Normal"/>
    <w:next w:val="BodyText"/>
    <w:pPr>
      <w:keepNext/>
      <w:spacing w:before="1200" w:after="720"/>
      <w:jc w:val="center"/>
    </w:pPr>
    <w:rPr>
      <w:b/>
      <w:bCs/>
      <w:caps/>
    </w:rPr>
  </w:style>
  <w:style w:type="paragraph" w:styleId="List">
    <w:name w:val="List"/>
    <w:basedOn w:val="Normal"/>
    <w:pPr>
      <w:spacing w:after="240"/>
      <w:ind w:left="850" w:hanging="283"/>
    </w:pPr>
  </w:style>
  <w:style w:type="paragraph" w:styleId="List2">
    <w:name w:val="List 2"/>
    <w:basedOn w:val="Normal"/>
    <w:pPr>
      <w:spacing w:after="240"/>
      <w:ind w:left="1134" w:hanging="283"/>
    </w:pPr>
  </w:style>
  <w:style w:type="paragraph" w:styleId="List3">
    <w:name w:val="List 3"/>
    <w:basedOn w:val="Normal"/>
    <w:pPr>
      <w:spacing w:after="240"/>
      <w:ind w:left="1417" w:hanging="283"/>
    </w:pPr>
  </w:style>
  <w:style w:type="paragraph" w:styleId="List4">
    <w:name w:val="List 4"/>
    <w:basedOn w:val="Normal"/>
    <w:pPr>
      <w:spacing w:after="240"/>
      <w:ind w:left="1701" w:hanging="283"/>
    </w:pPr>
  </w:style>
  <w:style w:type="paragraph" w:styleId="List5">
    <w:name w:val="List 5"/>
    <w:basedOn w:val="Normal"/>
    <w:pPr>
      <w:spacing w:after="240"/>
      <w:ind w:left="1984" w:hanging="283"/>
    </w:pPr>
  </w:style>
  <w:style w:type="paragraph" w:styleId="ListBullet">
    <w:name w:val="List Bullet"/>
    <w:basedOn w:val="Normal"/>
    <w:link w:val="ListBulletChar"/>
    <w:pPr>
      <w:numPr>
        <w:numId w:val="5"/>
      </w:numPr>
      <w:tabs>
        <w:tab w:val="clear" w:pos="1191"/>
        <w:tab w:val="clear" w:pos="1531"/>
      </w:tabs>
      <w:spacing w:after="240"/>
    </w:pPr>
  </w:style>
  <w:style w:type="paragraph" w:styleId="ListBullet2">
    <w:name w:val="List Bullet 2"/>
    <w:basedOn w:val="Normal"/>
    <w:pPr>
      <w:numPr>
        <w:numId w:val="6"/>
      </w:numPr>
      <w:tabs>
        <w:tab w:val="clear" w:pos="850"/>
        <w:tab w:val="clear" w:pos="1531"/>
      </w:tabs>
      <w:spacing w:after="240"/>
    </w:pPr>
  </w:style>
  <w:style w:type="paragraph" w:styleId="ListBullet3">
    <w:name w:val="List Bullet 3"/>
    <w:basedOn w:val="Normal"/>
    <w:pPr>
      <w:numPr>
        <w:numId w:val="7"/>
      </w:numPr>
      <w:tabs>
        <w:tab w:val="clear" w:pos="850"/>
        <w:tab w:val="clear" w:pos="1191"/>
        <w:tab w:val="clear" w:pos="1531"/>
      </w:tabs>
      <w:spacing w:after="240"/>
    </w:pPr>
  </w:style>
  <w:style w:type="paragraph" w:styleId="ListBullet4">
    <w:name w:val="List Bullet 4"/>
    <w:basedOn w:val="Normal"/>
    <w:pPr>
      <w:numPr>
        <w:numId w:val="8"/>
      </w:numPr>
      <w:tabs>
        <w:tab w:val="clear" w:pos="850"/>
        <w:tab w:val="clear" w:pos="1191"/>
        <w:tab w:val="clear" w:pos="1531"/>
      </w:tabs>
      <w:spacing w:after="240"/>
    </w:pPr>
  </w:style>
  <w:style w:type="paragraph" w:styleId="ListBullet5">
    <w:name w:val="List Bullet 5"/>
    <w:basedOn w:val="Normal"/>
    <w:pPr>
      <w:numPr>
        <w:numId w:val="9"/>
      </w:numPr>
      <w:tabs>
        <w:tab w:val="clear" w:pos="850"/>
        <w:tab w:val="clear" w:pos="1191"/>
        <w:tab w:val="clear" w:pos="1531"/>
      </w:tabs>
      <w:spacing w:after="240"/>
    </w:pPr>
  </w:style>
  <w:style w:type="paragraph" w:styleId="ListContinue">
    <w:name w:val="List Continue"/>
    <w:basedOn w:val="Normal"/>
    <w:pPr>
      <w:tabs>
        <w:tab w:val="clear" w:pos="850"/>
        <w:tab w:val="clear" w:pos="1191"/>
        <w:tab w:val="clear" w:pos="1531"/>
      </w:tabs>
      <w:spacing w:after="240"/>
      <w:ind w:left="850"/>
    </w:pPr>
  </w:style>
  <w:style w:type="paragraph" w:styleId="ListContinue2">
    <w:name w:val="List Continue 2"/>
    <w:basedOn w:val="Normal"/>
    <w:pPr>
      <w:tabs>
        <w:tab w:val="clear" w:pos="850"/>
        <w:tab w:val="clear" w:pos="1191"/>
        <w:tab w:val="clear" w:pos="1531"/>
      </w:tabs>
      <w:spacing w:after="240"/>
      <w:ind w:left="1191"/>
    </w:pPr>
  </w:style>
  <w:style w:type="paragraph" w:styleId="ListContinue3">
    <w:name w:val="List Continue 3"/>
    <w:basedOn w:val="Normal"/>
    <w:pPr>
      <w:tabs>
        <w:tab w:val="clear" w:pos="850"/>
        <w:tab w:val="clear" w:pos="1191"/>
        <w:tab w:val="clear" w:pos="1531"/>
      </w:tabs>
      <w:spacing w:after="240"/>
      <w:ind w:left="1474"/>
    </w:pPr>
  </w:style>
  <w:style w:type="paragraph" w:styleId="ListContinue4">
    <w:name w:val="List Continue 4"/>
    <w:basedOn w:val="Normal"/>
    <w:pPr>
      <w:tabs>
        <w:tab w:val="clear" w:pos="850"/>
        <w:tab w:val="clear" w:pos="1191"/>
        <w:tab w:val="clear" w:pos="1531"/>
      </w:tabs>
      <w:spacing w:after="240"/>
      <w:ind w:left="1757"/>
    </w:pPr>
  </w:style>
  <w:style w:type="paragraph" w:styleId="ListContinue5">
    <w:name w:val="List Continue 5"/>
    <w:basedOn w:val="Normal"/>
    <w:pPr>
      <w:tabs>
        <w:tab w:val="clear" w:pos="850"/>
        <w:tab w:val="clear" w:pos="1191"/>
        <w:tab w:val="clear" w:pos="1531"/>
      </w:tabs>
      <w:spacing w:after="240"/>
      <w:ind w:left="2041"/>
    </w:pPr>
  </w:style>
  <w:style w:type="paragraph" w:styleId="ListNumber">
    <w:name w:val="List Number"/>
    <w:basedOn w:val="Normal"/>
    <w:pPr>
      <w:numPr>
        <w:numId w:val="10"/>
      </w:numPr>
      <w:tabs>
        <w:tab w:val="clear" w:pos="1191"/>
        <w:tab w:val="clear" w:pos="1531"/>
        <w:tab w:val="left" w:pos="1134"/>
      </w:tabs>
      <w:spacing w:after="240"/>
    </w:pPr>
  </w:style>
  <w:style w:type="paragraph" w:styleId="ListNumber2">
    <w:name w:val="List Number 2"/>
    <w:basedOn w:val="Normal"/>
    <w:pPr>
      <w:numPr>
        <w:ilvl w:val="1"/>
        <w:numId w:val="10"/>
      </w:numPr>
      <w:tabs>
        <w:tab w:val="clear" w:pos="850"/>
        <w:tab w:val="clear" w:pos="1531"/>
        <w:tab w:val="left" w:pos="1417"/>
      </w:tabs>
      <w:spacing w:after="240"/>
    </w:pPr>
  </w:style>
  <w:style w:type="paragraph" w:styleId="ListNumber3">
    <w:name w:val="List Number 3"/>
    <w:basedOn w:val="Normal"/>
    <w:pPr>
      <w:numPr>
        <w:ilvl w:val="2"/>
        <w:numId w:val="10"/>
      </w:numPr>
      <w:tabs>
        <w:tab w:val="clear" w:pos="850"/>
        <w:tab w:val="clear" w:pos="1191"/>
        <w:tab w:val="clear" w:pos="1531"/>
        <w:tab w:val="left" w:pos="1701"/>
      </w:tabs>
      <w:spacing w:after="240"/>
    </w:pPr>
  </w:style>
  <w:style w:type="paragraph" w:styleId="ListNumber4">
    <w:name w:val="List Number 4"/>
    <w:basedOn w:val="Normal"/>
    <w:pPr>
      <w:numPr>
        <w:ilvl w:val="3"/>
        <w:numId w:val="10"/>
      </w:numPr>
      <w:tabs>
        <w:tab w:val="clear" w:pos="850"/>
        <w:tab w:val="clear" w:pos="1191"/>
        <w:tab w:val="clear" w:pos="1531"/>
        <w:tab w:val="left" w:pos="1984"/>
      </w:tabs>
      <w:spacing w:after="240"/>
    </w:pPr>
  </w:style>
  <w:style w:type="paragraph" w:styleId="ListNumber5">
    <w:name w:val="List Number 5"/>
    <w:basedOn w:val="Normal"/>
    <w:pPr>
      <w:numPr>
        <w:ilvl w:val="4"/>
        <w:numId w:val="10"/>
      </w:numPr>
      <w:tabs>
        <w:tab w:val="clear" w:pos="850"/>
        <w:tab w:val="clear" w:pos="1191"/>
        <w:tab w:val="clear" w:pos="1531"/>
        <w:tab w:val="left" w:pos="2268"/>
      </w:tabs>
      <w:spacing w:after="240"/>
    </w:pPr>
  </w:style>
  <w:style w:type="paragraph" w:customStyle="1" w:styleId="Num-ChapParagraph">
    <w:name w:val="Num-Chap Paragraph"/>
    <w:basedOn w:val="BodyText"/>
    <w:pPr>
      <w:ind w:firstLine="0"/>
    </w:pPr>
  </w:style>
  <w:style w:type="paragraph" w:customStyle="1" w:styleId="Num-DocParagraph">
    <w:name w:val="Num-Doc Paragraph"/>
    <w:basedOn w:val="BodyText"/>
    <w:link w:val="Num-DocParagraphChar"/>
    <w:qFormat/>
    <w:pPr>
      <w:ind w:firstLine="0"/>
    </w:pPr>
  </w:style>
  <w:style w:type="paragraph" w:customStyle="1" w:styleId="PartHeading">
    <w:name w:val="Part Heading"/>
    <w:basedOn w:val="Normal"/>
    <w:next w:val="BodyText"/>
    <w:pPr>
      <w:keepNext/>
      <w:spacing w:before="1200" w:after="720"/>
      <w:jc w:val="center"/>
    </w:pPr>
    <w:rPr>
      <w:b/>
      <w:bCs/>
      <w:caps/>
    </w:rPr>
  </w:style>
  <w:style w:type="paragraph" w:customStyle="1" w:styleId="RowsHeading">
    <w:name w:val="Rows Heading"/>
    <w:basedOn w:val="Normal"/>
    <w:pPr>
      <w:tabs>
        <w:tab w:val="clear" w:pos="850"/>
        <w:tab w:val="clear" w:pos="1191"/>
        <w:tab w:val="clear" w:pos="1531"/>
      </w:tabs>
      <w:jc w:val="left"/>
    </w:pPr>
    <w:rPr>
      <w:rFonts w:ascii="Arial" w:hAnsi="Arial" w:cs="Arial"/>
      <w:sz w:val="18"/>
      <w:szCs w:val="18"/>
    </w:rPr>
  </w:style>
  <w:style w:type="paragraph" w:customStyle="1" w:styleId="SourceDescription">
    <w:name w:val="Source Description"/>
    <w:basedOn w:val="Normal"/>
    <w:next w:val="BodyText"/>
    <w:link w:val="SourceDescriptionChar"/>
    <w:pPr>
      <w:spacing w:after="360"/>
    </w:pPr>
    <w:rPr>
      <w:rFonts w:ascii="Arial" w:hAnsi="Arial" w:cs="Arial"/>
      <w:sz w:val="16"/>
      <w:szCs w:val="18"/>
    </w:rPr>
  </w:style>
  <w:style w:type="paragraph" w:customStyle="1" w:styleId="SubHeading">
    <w:name w:val="SubHeading"/>
    <w:basedOn w:val="BodyText"/>
    <w:pPr>
      <w:ind w:left="442" w:firstLine="0"/>
    </w:pPr>
    <w:rPr>
      <w:i/>
      <w:iCs/>
    </w:rPr>
  </w:style>
  <w:style w:type="paragraph" w:customStyle="1" w:styleId="SummaryHeading">
    <w:name w:val="Summary Heading"/>
    <w:basedOn w:val="Normal"/>
    <w:next w:val="BodyText"/>
    <w:pPr>
      <w:keepNext/>
      <w:spacing w:before="1200" w:after="720"/>
      <w:jc w:val="center"/>
    </w:pPr>
    <w:rPr>
      <w:b/>
      <w:bCs/>
      <w:caps/>
    </w:rPr>
  </w:style>
  <w:style w:type="paragraph" w:customStyle="1" w:styleId="Table">
    <w:name w:val="Table"/>
    <w:basedOn w:val="Normal"/>
    <w:next w:val="BodyText"/>
    <w:pPr>
      <w:spacing w:after="240"/>
      <w:jc w:val="center"/>
    </w:pPr>
  </w:style>
  <w:style w:type="paragraph" w:customStyle="1" w:styleId="TableNote">
    <w:name w:val="Table Note"/>
    <w:basedOn w:val="Normal"/>
    <w:pPr>
      <w:spacing w:after="120"/>
      <w:jc w:val="left"/>
    </w:pPr>
    <w:rPr>
      <w:rFonts w:ascii="Arial" w:hAnsi="Arial" w:cs="Arial"/>
      <w:sz w:val="16"/>
      <w:szCs w:val="18"/>
    </w:rPr>
  </w:style>
  <w:style w:type="paragraph" w:customStyle="1" w:styleId="TableofContentsHeading">
    <w:name w:val="Table of Contents Heading"/>
    <w:basedOn w:val="Normal"/>
    <w:next w:val="BodyText"/>
    <w:pPr>
      <w:keepNext/>
      <w:spacing w:before="1200" w:after="720"/>
      <w:jc w:val="center"/>
    </w:pPr>
    <w:rPr>
      <w:b/>
      <w:bCs/>
      <w:caps/>
    </w:rPr>
  </w:style>
  <w:style w:type="paragraph" w:customStyle="1" w:styleId="TableSub-title">
    <w:name w:val="Table Sub-title"/>
    <w:basedOn w:val="Normal"/>
    <w:pPr>
      <w:keepNext/>
      <w:spacing w:after="240"/>
      <w:jc w:val="center"/>
    </w:pPr>
    <w:rPr>
      <w:rFonts w:ascii="Arial" w:hAnsi="Arial" w:cs="Arial"/>
      <w:sz w:val="18"/>
    </w:rPr>
  </w:style>
  <w:style w:type="paragraph" w:customStyle="1" w:styleId="TableTitle">
    <w:name w:val="Table Title"/>
    <w:basedOn w:val="Normal"/>
    <w:pPr>
      <w:keepNext/>
      <w:spacing w:after="240"/>
      <w:jc w:val="center"/>
    </w:pPr>
    <w:rPr>
      <w:rFonts w:ascii="Arial" w:hAnsi="Arial" w:cs="Arial"/>
      <w:b/>
      <w:bCs/>
      <w:sz w:val="18"/>
    </w:rPr>
  </w:style>
  <w:style w:type="paragraph" w:customStyle="1" w:styleId="TextBox">
    <w:name w:val="Text Box"/>
    <w:basedOn w:val="BodyText"/>
    <w:pPr>
      <w:pBdr>
        <w:top w:val="single" w:sz="6" w:space="1" w:color="auto"/>
        <w:left w:val="single" w:sz="6" w:space="1" w:color="auto"/>
        <w:bottom w:val="single" w:sz="6" w:space="1" w:color="auto"/>
        <w:right w:val="single" w:sz="6" w:space="1" w:color="auto"/>
      </w:pBdr>
      <w:ind w:firstLine="0"/>
    </w:pPr>
    <w:rPr>
      <w:rFonts w:ascii="Arial" w:hAnsi="Arial" w:cs="Arial"/>
      <w:sz w:val="18"/>
    </w:rPr>
  </w:style>
  <w:style w:type="paragraph" w:customStyle="1" w:styleId="TextBoxHeading">
    <w:name w:val="Text Box Heading"/>
    <w:basedOn w:val="TextBox"/>
    <w:next w:val="TextBox"/>
    <w:pPr>
      <w:jc w:val="center"/>
    </w:pPr>
    <w:rPr>
      <w:b/>
      <w:bCs/>
    </w:rPr>
  </w:style>
  <w:style w:type="paragraph" w:styleId="TOC1">
    <w:name w:val="toc 1"/>
    <w:basedOn w:val="Normal"/>
    <w:next w:val="Normal"/>
    <w:uiPriority w:val="39"/>
    <w:qFormat/>
    <w:pPr>
      <w:tabs>
        <w:tab w:val="clear" w:pos="850"/>
        <w:tab w:val="clear" w:pos="1191"/>
        <w:tab w:val="clear" w:pos="1531"/>
        <w:tab w:val="right" w:leader="dot" w:pos="9468"/>
      </w:tabs>
      <w:spacing w:before="120" w:after="120"/>
    </w:pPr>
    <w:rPr>
      <w:caps/>
    </w:rPr>
  </w:style>
  <w:style w:type="paragraph" w:styleId="TOC2">
    <w:name w:val="toc 2"/>
    <w:basedOn w:val="Normal"/>
    <w:next w:val="Normal"/>
    <w:uiPriority w:val="39"/>
    <w:qFormat/>
    <w:pPr>
      <w:tabs>
        <w:tab w:val="clear" w:pos="850"/>
        <w:tab w:val="clear" w:pos="1191"/>
        <w:tab w:val="clear" w:pos="1531"/>
        <w:tab w:val="right" w:leader="dot" w:pos="9468"/>
      </w:tabs>
      <w:ind w:left="198"/>
    </w:pPr>
  </w:style>
  <w:style w:type="paragraph" w:styleId="TOC3">
    <w:name w:val="toc 3"/>
    <w:basedOn w:val="Normal"/>
    <w:next w:val="Normal"/>
    <w:uiPriority w:val="39"/>
    <w:qFormat/>
    <w:pPr>
      <w:tabs>
        <w:tab w:val="clear" w:pos="850"/>
        <w:tab w:val="clear" w:pos="1191"/>
        <w:tab w:val="clear" w:pos="1531"/>
        <w:tab w:val="right" w:leader="dot" w:pos="9468"/>
      </w:tabs>
      <w:ind w:left="397"/>
    </w:pPr>
  </w:style>
  <w:style w:type="paragraph" w:styleId="TOC4">
    <w:name w:val="toc 4"/>
    <w:basedOn w:val="Normal"/>
    <w:next w:val="Normal"/>
    <w:uiPriority w:val="39"/>
    <w:qFormat/>
    <w:pPr>
      <w:tabs>
        <w:tab w:val="clear" w:pos="850"/>
        <w:tab w:val="clear" w:pos="1191"/>
        <w:tab w:val="clear" w:pos="1531"/>
        <w:tab w:val="right" w:leader="dot" w:pos="9468"/>
      </w:tabs>
      <w:ind w:left="595"/>
    </w:pPr>
    <w:rPr>
      <w:noProof/>
    </w:rPr>
  </w:style>
  <w:style w:type="paragraph" w:styleId="TOC5">
    <w:name w:val="toc 5"/>
    <w:basedOn w:val="Normal"/>
    <w:next w:val="Normal"/>
    <w:qFormat/>
    <w:pPr>
      <w:tabs>
        <w:tab w:val="clear" w:pos="850"/>
        <w:tab w:val="clear" w:pos="1191"/>
        <w:tab w:val="clear" w:pos="1531"/>
        <w:tab w:val="right" w:leader="dot" w:pos="9468"/>
      </w:tabs>
      <w:ind w:left="794"/>
    </w:pPr>
    <w:rPr>
      <w:noProof/>
    </w:rPr>
  </w:style>
  <w:style w:type="paragraph" w:customStyle="1" w:styleId="IndexHeading1">
    <w:name w:val="Index Heading1"/>
    <w:basedOn w:val="Normal"/>
    <w:next w:val="BodyText"/>
    <w:pPr>
      <w:keepNext/>
      <w:spacing w:before="1200" w:after="720"/>
      <w:jc w:val="center"/>
    </w:pPr>
    <w:rPr>
      <w:b/>
      <w:caps/>
      <w:lang w:val="en-US"/>
    </w:rPr>
  </w:style>
  <w:style w:type="paragraph" w:styleId="BlockText">
    <w:name w:val="Block Text"/>
    <w:basedOn w:val="Normal"/>
    <w:pPr>
      <w:spacing w:after="120"/>
      <w:ind w:left="1440" w:right="1440"/>
    </w:pPr>
  </w:style>
  <w:style w:type="paragraph" w:styleId="TOC9">
    <w:name w:val="toc 9"/>
    <w:basedOn w:val="Normal"/>
    <w:next w:val="Normal"/>
    <w:qFormat/>
    <w:pPr>
      <w:tabs>
        <w:tab w:val="clear" w:pos="850"/>
        <w:tab w:val="clear" w:pos="1191"/>
        <w:tab w:val="clear" w:pos="1531"/>
      </w:tabs>
      <w:ind w:left="1760"/>
    </w:pPr>
  </w:style>
  <w:style w:type="paragraph" w:customStyle="1" w:styleId="Abstract">
    <w:name w:val="Abstract"/>
    <w:basedOn w:val="BodyText"/>
    <w:pPr>
      <w:pBdr>
        <w:top w:val="single" w:sz="4" w:space="1" w:color="auto"/>
        <w:left w:val="single" w:sz="4" w:space="4" w:color="auto"/>
        <w:bottom w:val="single" w:sz="4" w:space="1" w:color="auto"/>
        <w:right w:val="single" w:sz="4" w:space="4" w:color="auto"/>
      </w:pBdr>
      <w:ind w:left="442" w:firstLine="0"/>
    </w:pPr>
    <w:rPr>
      <w:lang w:val="en-US"/>
    </w:rPr>
  </w:style>
  <w:style w:type="paragraph" w:customStyle="1" w:styleId="Author">
    <w:name w:val="Author"/>
    <w:basedOn w:val="BodyText"/>
    <w:pPr>
      <w:ind w:firstLine="0"/>
    </w:pPr>
    <w:rPr>
      <w:lang w:val="en-US"/>
    </w:rPr>
  </w:style>
  <w:style w:type="paragraph" w:customStyle="1" w:styleId="Chart">
    <w:name w:val="Chart"/>
    <w:basedOn w:val="Normal"/>
    <w:next w:val="BodyText"/>
    <w:pPr>
      <w:spacing w:after="240"/>
      <w:jc w:val="center"/>
    </w:pPr>
    <w:rPr>
      <w:lang w:val="en-US"/>
    </w:rPr>
  </w:style>
  <w:style w:type="paragraph" w:customStyle="1" w:styleId="ChartSub-title">
    <w:name w:val="Chart Sub-title"/>
    <w:basedOn w:val="Normal"/>
    <w:pPr>
      <w:keepNext/>
      <w:spacing w:after="120"/>
      <w:jc w:val="center"/>
    </w:pPr>
    <w:rPr>
      <w:rFonts w:ascii="Arial" w:hAnsi="Arial" w:cs="Arial"/>
      <w:sz w:val="18"/>
      <w:lang w:val="en-US"/>
    </w:rPr>
  </w:style>
  <w:style w:type="paragraph" w:customStyle="1" w:styleId="ChartTitle">
    <w:name w:val="Chart Title"/>
    <w:basedOn w:val="Normal"/>
    <w:next w:val="ChartSub-title"/>
    <w:pPr>
      <w:keepNext/>
      <w:spacing w:after="240"/>
      <w:jc w:val="center"/>
    </w:pPr>
    <w:rPr>
      <w:rFonts w:ascii="Arial" w:hAnsi="Arial" w:cs="Arial"/>
      <w:b/>
      <w:sz w:val="18"/>
      <w:lang w:val="en-US"/>
    </w:rPr>
  </w:style>
  <w:style w:type="paragraph" w:customStyle="1" w:styleId="ChartNote">
    <w:name w:val="Chart Note"/>
    <w:basedOn w:val="Normal"/>
    <w:pPr>
      <w:spacing w:after="120"/>
      <w:jc w:val="left"/>
    </w:pPr>
    <w:rPr>
      <w:rFonts w:ascii="Arial" w:hAnsi="Arial" w:cs="Arial"/>
      <w:sz w:val="16"/>
      <w:lang w:val="en-US"/>
    </w:rPr>
  </w:style>
  <w:style w:type="paragraph" w:customStyle="1" w:styleId="BoxHeading2">
    <w:name w:val="Box Heading 2"/>
    <w:basedOn w:val="Normal"/>
    <w:next w:val="BoxBodyText"/>
    <w:pPr>
      <w:spacing w:before="240" w:after="240"/>
      <w:jc w:val="left"/>
    </w:pPr>
    <w:rPr>
      <w:rFonts w:ascii="Arial" w:hAnsi="Arial" w:cs="Arial"/>
      <w:b/>
      <w:sz w:val="18"/>
      <w:lang w:val="en-US"/>
    </w:rPr>
  </w:style>
  <w:style w:type="paragraph" w:customStyle="1" w:styleId="BoxHeading3">
    <w:name w:val="Box Heading 3"/>
    <w:basedOn w:val="Normal"/>
    <w:next w:val="BoxBodyText"/>
    <w:pPr>
      <w:spacing w:before="240" w:after="240"/>
      <w:jc w:val="left"/>
    </w:pPr>
    <w:rPr>
      <w:rFonts w:ascii="Arial" w:hAnsi="Arial" w:cs="Arial"/>
      <w:b/>
      <w:i/>
      <w:sz w:val="18"/>
      <w:lang w:val="en-US"/>
    </w:rPr>
  </w:style>
  <w:style w:type="paragraph" w:customStyle="1" w:styleId="BoxNote">
    <w:name w:val="Box Note"/>
    <w:basedOn w:val="Normal"/>
    <w:pPr>
      <w:tabs>
        <w:tab w:val="clear" w:pos="850"/>
        <w:tab w:val="clear" w:pos="1191"/>
        <w:tab w:val="clear" w:pos="1531"/>
        <w:tab w:val="left" w:pos="340"/>
      </w:tabs>
      <w:spacing w:after="120"/>
      <w:jc w:val="left"/>
    </w:pPr>
    <w:rPr>
      <w:rFonts w:ascii="Arial" w:hAnsi="Arial" w:cs="Arial"/>
      <w:sz w:val="18"/>
      <w:lang w:val="en-US"/>
    </w:rPr>
  </w:style>
  <w:style w:type="paragraph" w:customStyle="1" w:styleId="ListBulletBox">
    <w:name w:val="List Bullet Box"/>
    <w:basedOn w:val="Normal"/>
    <w:pPr>
      <w:numPr>
        <w:numId w:val="11"/>
      </w:numPr>
      <w:tabs>
        <w:tab w:val="clear" w:pos="1191"/>
        <w:tab w:val="clear" w:pos="1531"/>
      </w:tabs>
      <w:spacing w:after="240"/>
    </w:pPr>
    <w:rPr>
      <w:rFonts w:ascii="Arial" w:hAnsi="Arial" w:cs="Arial"/>
      <w:sz w:val="18"/>
      <w:lang w:val="en-US"/>
    </w:rPr>
  </w:style>
  <w:style w:type="paragraph" w:customStyle="1" w:styleId="ListBulletBox2">
    <w:name w:val="List Bullet Box 2"/>
    <w:basedOn w:val="Normal"/>
    <w:pPr>
      <w:numPr>
        <w:numId w:val="12"/>
      </w:numPr>
      <w:tabs>
        <w:tab w:val="clear" w:pos="850"/>
        <w:tab w:val="clear" w:pos="1531"/>
      </w:tabs>
      <w:spacing w:after="240"/>
    </w:pPr>
    <w:rPr>
      <w:rFonts w:ascii="Arial" w:hAnsi="Arial" w:cs="Arial"/>
      <w:sz w:val="18"/>
      <w:lang w:val="en-US"/>
    </w:rPr>
  </w:style>
  <w:style w:type="paragraph" w:customStyle="1" w:styleId="ListBulletBox3">
    <w:name w:val="List Bullet Box 3"/>
    <w:basedOn w:val="Normal"/>
    <w:pPr>
      <w:numPr>
        <w:numId w:val="13"/>
      </w:numPr>
      <w:tabs>
        <w:tab w:val="clear" w:pos="850"/>
        <w:tab w:val="clear" w:pos="1191"/>
        <w:tab w:val="clear" w:pos="1531"/>
      </w:tabs>
      <w:spacing w:after="240"/>
    </w:pPr>
    <w:rPr>
      <w:rFonts w:ascii="Arial" w:hAnsi="Arial" w:cs="Arial"/>
      <w:sz w:val="18"/>
      <w:lang w:val="en-US"/>
    </w:rPr>
  </w:style>
  <w:style w:type="paragraph" w:customStyle="1" w:styleId="ListNumberBox">
    <w:name w:val="List Number Box"/>
    <w:basedOn w:val="Normal"/>
    <w:pPr>
      <w:numPr>
        <w:numId w:val="14"/>
      </w:numPr>
      <w:tabs>
        <w:tab w:val="clear" w:pos="1191"/>
        <w:tab w:val="clear" w:pos="1531"/>
        <w:tab w:val="clear" w:pos="1950"/>
      </w:tabs>
      <w:spacing w:after="240"/>
      <w:ind w:left="850"/>
    </w:pPr>
    <w:rPr>
      <w:rFonts w:ascii="Arial" w:hAnsi="Arial" w:cs="Arial"/>
      <w:sz w:val="18"/>
      <w:lang w:val="en-US"/>
    </w:rPr>
  </w:style>
  <w:style w:type="paragraph" w:customStyle="1" w:styleId="ListNumberBox2">
    <w:name w:val="List Number Box 2"/>
    <w:basedOn w:val="Normal"/>
    <w:pPr>
      <w:numPr>
        <w:ilvl w:val="1"/>
        <w:numId w:val="14"/>
      </w:numPr>
      <w:tabs>
        <w:tab w:val="clear" w:pos="850"/>
        <w:tab w:val="clear" w:pos="1531"/>
        <w:tab w:val="clear" w:pos="2291"/>
      </w:tabs>
      <w:spacing w:after="240"/>
      <w:ind w:left="1191" w:hanging="340"/>
    </w:pPr>
    <w:rPr>
      <w:rFonts w:ascii="Arial" w:hAnsi="Arial" w:cs="Arial"/>
      <w:sz w:val="18"/>
      <w:lang w:val="en-US"/>
    </w:rPr>
  </w:style>
  <w:style w:type="paragraph" w:customStyle="1" w:styleId="ListNumberBox3">
    <w:name w:val="List Number Box 3"/>
    <w:basedOn w:val="Normal"/>
    <w:pPr>
      <w:numPr>
        <w:ilvl w:val="2"/>
        <w:numId w:val="14"/>
      </w:numPr>
      <w:tabs>
        <w:tab w:val="clear" w:pos="850"/>
        <w:tab w:val="clear" w:pos="1191"/>
        <w:tab w:val="clear" w:pos="1531"/>
        <w:tab w:val="clear" w:pos="2574"/>
        <w:tab w:val="left" w:pos="1474"/>
      </w:tabs>
      <w:spacing w:after="240"/>
      <w:ind w:left="1474"/>
    </w:pPr>
    <w:rPr>
      <w:rFonts w:ascii="Arial" w:hAnsi="Arial" w:cs="Arial"/>
      <w:sz w:val="18"/>
      <w:lang w:val="en-US"/>
    </w:rPr>
  </w:style>
  <w:style w:type="paragraph" w:customStyle="1" w:styleId="ListContinueBox">
    <w:name w:val="List Continue Box"/>
    <w:basedOn w:val="Normal"/>
    <w:pPr>
      <w:tabs>
        <w:tab w:val="clear" w:pos="850"/>
        <w:tab w:val="clear" w:pos="1191"/>
        <w:tab w:val="clear" w:pos="1531"/>
      </w:tabs>
      <w:spacing w:after="240"/>
      <w:ind w:left="850"/>
    </w:pPr>
    <w:rPr>
      <w:rFonts w:ascii="Arial" w:hAnsi="Arial" w:cs="Arial"/>
      <w:sz w:val="18"/>
      <w:lang w:val="en-US"/>
    </w:rPr>
  </w:style>
  <w:style w:type="paragraph" w:customStyle="1" w:styleId="ListContinueBox2">
    <w:name w:val="List Continue Box 2"/>
    <w:basedOn w:val="Normal"/>
    <w:pPr>
      <w:tabs>
        <w:tab w:val="clear" w:pos="850"/>
        <w:tab w:val="clear" w:pos="1191"/>
        <w:tab w:val="clear" w:pos="1531"/>
      </w:tabs>
      <w:spacing w:after="240"/>
      <w:ind w:left="1191"/>
    </w:pPr>
    <w:rPr>
      <w:rFonts w:ascii="Arial" w:hAnsi="Arial" w:cs="Arial"/>
      <w:sz w:val="18"/>
      <w:lang w:val="en-US"/>
    </w:rPr>
  </w:style>
  <w:style w:type="paragraph" w:customStyle="1" w:styleId="ListContinueBox3">
    <w:name w:val="List Continue Box 3"/>
    <w:basedOn w:val="Normal"/>
    <w:pPr>
      <w:tabs>
        <w:tab w:val="clear" w:pos="850"/>
        <w:tab w:val="clear" w:pos="1191"/>
        <w:tab w:val="clear" w:pos="1531"/>
      </w:tabs>
      <w:spacing w:after="240"/>
      <w:ind w:left="1474"/>
    </w:pPr>
    <w:rPr>
      <w:rFonts w:ascii="Arial" w:hAnsi="Arial" w:cs="Arial"/>
      <w:sz w:val="18"/>
      <w:lang w:val="en-US"/>
    </w:rPr>
  </w:style>
  <w:style w:type="paragraph" w:customStyle="1" w:styleId="BoxSource">
    <w:name w:val="Box Source"/>
    <w:basedOn w:val="Normal"/>
    <w:next w:val="BodyText"/>
    <w:pPr>
      <w:spacing w:after="360"/>
    </w:pPr>
    <w:rPr>
      <w:rFonts w:ascii="Arial" w:hAnsi="Arial" w:cs="Arial"/>
      <w:sz w:val="16"/>
      <w:lang w:val="en-US"/>
    </w:rPr>
  </w:style>
  <w:style w:type="character" w:customStyle="1" w:styleId="Cote">
    <w:name w:val="Cote"/>
    <w:basedOn w:val="DefaultParagraphFont"/>
    <w:rPr>
      <w:caps/>
      <w:smallCaps w:val="0"/>
      <w:lang w:val="en-US"/>
    </w:rPr>
  </w:style>
  <w:style w:type="numbering" w:customStyle="1" w:styleId="NumberedNote">
    <w:name w:val="Numbered Note"/>
    <w:basedOn w:val="NoList"/>
    <w:pPr>
      <w:numPr>
        <w:numId w:val="1"/>
      </w:numPr>
    </w:pPr>
  </w:style>
  <w:style w:type="numbering" w:customStyle="1" w:styleId="BulletedNote">
    <w:name w:val="Bulleted Note"/>
    <w:basedOn w:val="NoList"/>
    <w:pPr>
      <w:numPr>
        <w:numId w:val="2"/>
      </w:numPr>
    </w:pPr>
  </w:style>
  <w:style w:type="numbering" w:customStyle="1" w:styleId="NumericNote">
    <w:name w:val="Numeric Note"/>
    <w:basedOn w:val="NoList"/>
    <w:pPr>
      <w:numPr>
        <w:numId w:val="3"/>
      </w:numPr>
    </w:pPr>
  </w:style>
  <w:style w:type="numbering" w:customStyle="1" w:styleId="AlphaNote">
    <w:name w:val="Alpha Note"/>
    <w:basedOn w:val="NoList"/>
    <w:pPr>
      <w:numPr>
        <w:numId w:val="4"/>
      </w:numPr>
    </w:pPr>
  </w:style>
  <w:style w:type="paragraph" w:customStyle="1" w:styleId="AcknowledgementHeading">
    <w:name w:val="Acknowledgement Heading"/>
    <w:basedOn w:val="Normal"/>
    <w:next w:val="BodyText"/>
    <w:pPr>
      <w:keepNext/>
      <w:spacing w:before="1200" w:after="720"/>
      <w:jc w:val="center"/>
    </w:pPr>
    <w:rPr>
      <w:b/>
      <w:caps/>
      <w:lang w:val="en-US"/>
    </w:rPr>
  </w:style>
  <w:style w:type="paragraph" w:styleId="EnvelopeAddress">
    <w:name w:val="envelope address"/>
    <w:basedOn w:val="Normal"/>
    <w:pPr>
      <w:framePr w:w="7938" w:h="1985" w:hRule="exact" w:hSpace="141" w:wrap="auto" w:hAnchor="page" w:xAlign="center" w:yAlign="bottom"/>
      <w:ind w:left="2835"/>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link w:val="HTMLAddressChar"/>
    <w:rPr>
      <w:i/>
      <w:iCs/>
    </w:rPr>
  </w:style>
  <w:style w:type="paragraph" w:styleId="CommentText">
    <w:name w:val="annotation text"/>
    <w:basedOn w:val="Normal"/>
    <w:link w:val="CommentTextChar"/>
    <w:semiHidden/>
    <w:rPr>
      <w:sz w:val="20"/>
      <w:szCs w:val="20"/>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Date">
    <w:name w:val="Date"/>
    <w:basedOn w:val="Normal"/>
    <w:next w:val="Normal"/>
    <w:link w:val="DateChar"/>
  </w:style>
  <w:style w:type="paragraph" w:styleId="Header">
    <w:name w:val="header"/>
    <w:basedOn w:val="Normal"/>
    <w:link w:val="HeaderChar"/>
    <w:pPr>
      <w:tabs>
        <w:tab w:val="clear" w:pos="850"/>
        <w:tab w:val="clear" w:pos="1191"/>
        <w:tab w:val="clear" w:pos="1531"/>
        <w:tab w:val="center" w:pos="4536"/>
        <w:tab w:val="right" w:pos="9072"/>
      </w:tabs>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DocumentMap">
    <w:name w:val="Document Map"/>
    <w:basedOn w:val="Normal"/>
    <w:link w:val="DocumentMapChar"/>
    <w:semiHidden/>
    <w:pPr>
      <w:shd w:val="clear" w:color="auto" w:fill="000080"/>
    </w:pPr>
    <w:rPr>
      <w:rFonts w:ascii="Tahoma" w:hAnsi="Tahoma" w:cs="Tahoma"/>
    </w:rPr>
  </w:style>
  <w:style w:type="paragraph" w:styleId="Closing">
    <w:name w:val="Closing"/>
    <w:basedOn w:val="Normal"/>
    <w:link w:val="ClosingChar"/>
    <w:pPr>
      <w:ind w:left="4252"/>
    </w:pPr>
  </w:style>
  <w:style w:type="paragraph" w:styleId="Index2">
    <w:name w:val="index 2"/>
    <w:basedOn w:val="Normal"/>
    <w:next w:val="Normal"/>
    <w:semiHidden/>
    <w:pPr>
      <w:tabs>
        <w:tab w:val="clear" w:pos="850"/>
        <w:tab w:val="clear" w:pos="1191"/>
        <w:tab w:val="clear" w:pos="1531"/>
      </w:tabs>
      <w:ind w:left="440" w:hanging="220"/>
    </w:pPr>
  </w:style>
  <w:style w:type="paragraph" w:styleId="Index3">
    <w:name w:val="index 3"/>
    <w:basedOn w:val="Normal"/>
    <w:next w:val="Normal"/>
    <w:semiHidden/>
    <w:pPr>
      <w:tabs>
        <w:tab w:val="clear" w:pos="850"/>
        <w:tab w:val="clear" w:pos="1191"/>
        <w:tab w:val="clear" w:pos="1531"/>
      </w:tabs>
      <w:ind w:left="660" w:hanging="220"/>
    </w:pPr>
  </w:style>
  <w:style w:type="paragraph" w:styleId="Index4">
    <w:name w:val="index 4"/>
    <w:basedOn w:val="Normal"/>
    <w:next w:val="Normal"/>
    <w:semiHidden/>
    <w:pPr>
      <w:tabs>
        <w:tab w:val="clear" w:pos="850"/>
        <w:tab w:val="clear" w:pos="1191"/>
        <w:tab w:val="clear" w:pos="1531"/>
      </w:tabs>
      <w:ind w:left="880" w:hanging="220"/>
    </w:pPr>
  </w:style>
  <w:style w:type="paragraph" w:styleId="Index5">
    <w:name w:val="index 5"/>
    <w:basedOn w:val="Normal"/>
    <w:next w:val="Normal"/>
    <w:semiHidden/>
    <w:pPr>
      <w:tabs>
        <w:tab w:val="clear" w:pos="850"/>
        <w:tab w:val="clear" w:pos="1191"/>
        <w:tab w:val="clear" w:pos="1531"/>
      </w:tabs>
      <w:ind w:left="1100" w:hanging="220"/>
    </w:pPr>
  </w:style>
  <w:style w:type="paragraph" w:styleId="Index6">
    <w:name w:val="index 6"/>
    <w:basedOn w:val="Normal"/>
    <w:next w:val="Normal"/>
    <w:semiHidden/>
    <w:pPr>
      <w:tabs>
        <w:tab w:val="clear" w:pos="850"/>
        <w:tab w:val="clear" w:pos="1191"/>
        <w:tab w:val="clear" w:pos="1531"/>
      </w:tabs>
      <w:ind w:left="1320" w:hanging="220"/>
    </w:pPr>
  </w:style>
  <w:style w:type="paragraph" w:styleId="Index7">
    <w:name w:val="index 7"/>
    <w:basedOn w:val="Normal"/>
    <w:next w:val="Normal"/>
    <w:semiHidden/>
    <w:pPr>
      <w:tabs>
        <w:tab w:val="clear" w:pos="850"/>
        <w:tab w:val="clear" w:pos="1191"/>
        <w:tab w:val="clear" w:pos="1531"/>
      </w:tabs>
      <w:ind w:left="1540" w:hanging="220"/>
    </w:pPr>
  </w:style>
  <w:style w:type="paragraph" w:styleId="Index8">
    <w:name w:val="index 8"/>
    <w:basedOn w:val="Normal"/>
    <w:next w:val="Normal"/>
    <w:semiHidden/>
    <w:pPr>
      <w:tabs>
        <w:tab w:val="clear" w:pos="850"/>
        <w:tab w:val="clear" w:pos="1191"/>
        <w:tab w:val="clear" w:pos="1531"/>
      </w:tabs>
      <w:ind w:left="1760" w:hanging="220"/>
    </w:pPr>
  </w:style>
  <w:style w:type="paragraph" w:styleId="Index9">
    <w:name w:val="index 9"/>
    <w:basedOn w:val="Normal"/>
    <w:next w:val="Normal"/>
    <w:semiHidden/>
    <w:pPr>
      <w:tabs>
        <w:tab w:val="clear" w:pos="850"/>
        <w:tab w:val="clear" w:pos="1191"/>
        <w:tab w:val="clear" w:pos="1531"/>
      </w:tabs>
      <w:ind w:left="1980" w:hanging="220"/>
    </w:pPr>
  </w:style>
  <w:style w:type="paragraph" w:styleId="Caption">
    <w:name w:val="caption"/>
    <w:basedOn w:val="Normal"/>
    <w:next w:val="Normal"/>
    <w:qFormat/>
    <w:pPr>
      <w:spacing w:before="120" w:after="120"/>
    </w:pPr>
    <w:rPr>
      <w:b/>
      <w:bCs/>
      <w:sz w:val="20"/>
      <w:szCs w:val="20"/>
    </w:rPr>
  </w:style>
  <w:style w:type="paragraph" w:styleId="NormalWeb">
    <w:name w:val="Normal (Web)"/>
    <w:basedOn w:val="Normal"/>
    <w:uiPriority w:val="99"/>
    <w:rPr>
      <w:sz w:val="24"/>
      <w:szCs w:val="24"/>
    </w:rPr>
  </w:style>
  <w:style w:type="paragraph" w:styleId="CommentSubject">
    <w:name w:val="annotation subject"/>
    <w:basedOn w:val="CommentText"/>
    <w:next w:val="CommentText"/>
    <w:link w:val="CommentSubjectChar"/>
    <w:semiHidden/>
    <w:rPr>
      <w:b/>
      <w:bCs/>
    </w:rPr>
  </w:style>
  <w:style w:type="paragraph" w:styleId="Footer">
    <w:name w:val="footer"/>
    <w:basedOn w:val="Normal"/>
    <w:link w:val="FooterChar"/>
    <w:uiPriority w:val="99"/>
    <w:pPr>
      <w:tabs>
        <w:tab w:val="clear" w:pos="850"/>
        <w:tab w:val="clear" w:pos="1191"/>
        <w:tab w:val="clear" w:pos="1531"/>
        <w:tab w:val="center" w:pos="4536"/>
        <w:tab w:val="right" w:pos="9072"/>
      </w:tabs>
    </w:pPr>
  </w:style>
  <w:style w:type="paragraph" w:styleId="HTMLPreformatted">
    <w:name w:val="HTML Preformatted"/>
    <w:basedOn w:val="Normal"/>
    <w:link w:val="HTMLPreformattedChar"/>
    <w:rPr>
      <w:rFonts w:ascii="Courier New" w:hAnsi="Courier New" w:cs="Courier New"/>
      <w:sz w:val="20"/>
      <w:szCs w:val="20"/>
    </w:rPr>
  </w:style>
  <w:style w:type="paragraph" w:styleId="BodyTextFirstIndent">
    <w:name w:val="Body Text First Indent"/>
    <w:basedOn w:val="BodyText"/>
    <w:link w:val="BodyTextFirstIndentChar"/>
    <w:pPr>
      <w:spacing w:after="120"/>
      <w:ind w:firstLine="210"/>
    </w:pPr>
  </w:style>
  <w:style w:type="paragraph" w:styleId="BodyTextIndent">
    <w:name w:val="Body Text Indent"/>
    <w:basedOn w:val="Normal"/>
    <w:link w:val="BodyTextIndentChar"/>
    <w:pPr>
      <w:spacing w:after="240"/>
      <w:ind w:left="442"/>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BodyTextFirstIndent2">
    <w:name w:val="Body Text First Indent 2"/>
    <w:basedOn w:val="BodyTextIndent"/>
    <w:link w:val="BodyTextFirstIndent2Char"/>
    <w:pPr>
      <w:ind w:firstLine="210"/>
    </w:pPr>
  </w:style>
  <w:style w:type="paragraph" w:styleId="NormalIndent">
    <w:name w:val="Normal Indent"/>
    <w:basedOn w:val="Normal"/>
    <w:pPr>
      <w:ind w:left="708"/>
    </w:p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paragraph" w:styleId="E-mailSignature">
    <w:name w:val="E-mail Signature"/>
    <w:basedOn w:val="Normal"/>
    <w:link w:val="E-mailSignatureCha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Figures">
    <w:name w:val="table of figures"/>
    <w:basedOn w:val="Normal"/>
    <w:next w:val="Normal"/>
    <w:semiHidden/>
    <w:pPr>
      <w:tabs>
        <w:tab w:val="clear" w:pos="850"/>
        <w:tab w:val="clear" w:pos="1191"/>
        <w:tab w:val="clear" w:pos="1531"/>
      </w:tabs>
      <w:ind w:left="440" w:hanging="440"/>
    </w:pPr>
  </w:style>
  <w:style w:type="paragraph" w:styleId="TableofAuthorities">
    <w:name w:val="table of authorities"/>
    <w:basedOn w:val="Normal"/>
    <w:next w:val="Normal"/>
    <w:semiHidden/>
    <w:pPr>
      <w:tabs>
        <w:tab w:val="clear" w:pos="850"/>
        <w:tab w:val="clear" w:pos="1191"/>
        <w:tab w:val="clear" w:pos="1531"/>
      </w:tabs>
      <w:ind w:left="220" w:hanging="220"/>
    </w:pPr>
  </w:style>
  <w:style w:type="paragraph" w:styleId="PlainText">
    <w:name w:val="Plain Text"/>
    <w:basedOn w:val="Normal"/>
    <w:link w:val="PlainTextChar"/>
    <w:rPr>
      <w:rFonts w:ascii="Courier New" w:hAnsi="Courier New" w:cs="Courier New"/>
      <w:sz w:val="20"/>
      <w:szCs w:val="20"/>
    </w:rPr>
  </w:style>
  <w:style w:type="paragraph" w:styleId="BalloonText">
    <w:name w:val="Balloon Text"/>
    <w:basedOn w:val="Normal"/>
    <w:link w:val="BalloonTextChar"/>
    <w:semiHidden/>
    <w:rPr>
      <w:rFonts w:ascii="Tahoma" w:hAnsi="Tahoma" w:cs="Tahoma"/>
      <w:sz w:val="16"/>
      <w:szCs w:val="16"/>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lang w:val="en-GB" w:eastAsia="zh-CN"/>
    </w:r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NoteHeading">
    <w:name w:val="Note Heading"/>
    <w:basedOn w:val="Normal"/>
    <w:next w:val="Normal"/>
    <w:link w:val="NoteHeadingChar"/>
  </w:style>
  <w:style w:type="paragraph" w:styleId="TOAHeading">
    <w:name w:val="toa heading"/>
    <w:basedOn w:val="Normal"/>
    <w:next w:val="Normal"/>
    <w:semiHidden/>
    <w:pPr>
      <w:spacing w:before="120"/>
    </w:pPr>
    <w:rPr>
      <w:rFonts w:ascii="Arial" w:hAnsi="Arial" w:cs="Arial"/>
      <w:b/>
      <w:bCs/>
      <w:sz w:val="24"/>
      <w:szCs w:val="24"/>
    </w:rPr>
  </w:style>
  <w:style w:type="paragraph" w:styleId="TOC6">
    <w:name w:val="toc 6"/>
    <w:basedOn w:val="Normal"/>
    <w:next w:val="Normal"/>
    <w:qFormat/>
    <w:pPr>
      <w:tabs>
        <w:tab w:val="clear" w:pos="850"/>
        <w:tab w:val="clear" w:pos="1191"/>
        <w:tab w:val="clear" w:pos="1531"/>
      </w:tabs>
      <w:ind w:left="1100"/>
    </w:pPr>
  </w:style>
  <w:style w:type="paragraph" w:styleId="TOC7">
    <w:name w:val="toc 7"/>
    <w:basedOn w:val="Normal"/>
    <w:next w:val="Normal"/>
    <w:qFormat/>
    <w:pPr>
      <w:tabs>
        <w:tab w:val="clear" w:pos="850"/>
        <w:tab w:val="clear" w:pos="1191"/>
        <w:tab w:val="clear" w:pos="1531"/>
      </w:tabs>
      <w:ind w:left="1320"/>
    </w:pPr>
  </w:style>
  <w:style w:type="paragraph" w:styleId="TOC8">
    <w:name w:val="toc 8"/>
    <w:basedOn w:val="Normal"/>
    <w:next w:val="Normal"/>
    <w:qFormat/>
    <w:pPr>
      <w:tabs>
        <w:tab w:val="clear" w:pos="850"/>
        <w:tab w:val="clear" w:pos="1191"/>
        <w:tab w:val="clear" w:pos="1531"/>
      </w:tabs>
      <w:ind w:left="1540"/>
    </w:pPr>
  </w:style>
  <w:style w:type="paragraph" w:customStyle="1" w:styleId="BoxBodyText">
    <w:name w:val="Box Body Text"/>
    <w:basedOn w:val="Normal"/>
    <w:link w:val="BoxBodyTextChar"/>
    <w:pPr>
      <w:spacing w:after="240"/>
      <w:ind w:firstLine="442"/>
    </w:pPr>
    <w:rPr>
      <w:rFonts w:ascii="Arial" w:hAnsi="Arial" w:cs="Arial"/>
      <w:sz w:val="18"/>
      <w:lang w:val="en-US"/>
    </w:rPr>
  </w:style>
  <w:style w:type="paragraph" w:customStyle="1" w:styleId="BoxBodyTextIndent">
    <w:name w:val="Box Body Text Indent"/>
    <w:basedOn w:val="Normal"/>
    <w:pPr>
      <w:spacing w:after="240"/>
      <w:ind w:left="442"/>
    </w:pPr>
    <w:rPr>
      <w:rFonts w:ascii="Arial" w:hAnsi="Arial" w:cs="Arial"/>
      <w:sz w:val="18"/>
      <w:lang w:val="en-US"/>
    </w:rPr>
  </w:style>
  <w:style w:type="character" w:styleId="PageNumber">
    <w:name w:val="page number"/>
    <w:basedOn w:val="DefaultParagraphFont"/>
    <w:uiPriority w:val="99"/>
    <w:unhideWhenUsed/>
  </w:style>
  <w:style w:type="paragraph" w:styleId="Bibliography">
    <w:name w:val="Bibliography"/>
    <w:basedOn w:val="Normal"/>
    <w:next w:val="Normal"/>
    <w:uiPriority w:val="37"/>
    <w:semiHidden/>
    <w:unhideWhenUsed/>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szCs w:val="22"/>
      <w:lang w:val="en-GB" w:eastAsia="zh-CN"/>
    </w:rPr>
  </w:style>
  <w:style w:type="paragraph" w:styleId="ListParagraph">
    <w:name w:val="List Paragraph"/>
    <w:basedOn w:val="Normal"/>
    <w:uiPriority w:val="34"/>
    <w:qFormat/>
    <w:pPr>
      <w:ind w:left="720"/>
      <w:contextualSpacing/>
    </w:pPr>
  </w:style>
  <w:style w:type="paragraph" w:styleId="NoSpacing">
    <w:name w:val="No Spacing"/>
    <w:uiPriority w:val="1"/>
    <w:qFormat/>
    <w:pPr>
      <w:tabs>
        <w:tab w:val="left" w:pos="850"/>
        <w:tab w:val="left" w:pos="1191"/>
        <w:tab w:val="left" w:pos="1531"/>
      </w:tabs>
      <w:jc w:val="both"/>
    </w:pPr>
    <w:rPr>
      <w:sz w:val="22"/>
      <w:szCs w:val="22"/>
      <w:lang w:val="en-GB" w:eastAsia="zh-CN"/>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2"/>
      <w:szCs w:val="22"/>
      <w:lang w:val="en-GB" w:eastAsia="zh-CN"/>
    </w:rPr>
  </w:style>
  <w:style w:type="paragraph" w:styleId="TOCHeading">
    <w:name w:val="TOC Heading"/>
    <w:basedOn w:val="Heading1"/>
    <w:next w:val="Normal"/>
    <w:uiPriority w:val="39"/>
    <w:unhideWhenUsed/>
    <w:qFormat/>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Citation">
    <w:name w:val="Citation"/>
    <w:basedOn w:val="BodyText"/>
    <w:link w:val="CitationChar"/>
    <w:pPr>
      <w:ind w:left="850" w:firstLine="0"/>
      <w:jc w:val="left"/>
    </w:pPr>
  </w:style>
  <w:style w:type="character" w:customStyle="1" w:styleId="CitationChar">
    <w:name w:val="Citation Char"/>
    <w:basedOn w:val="DefaultParagraphFont"/>
    <w:link w:val="Citation"/>
    <w:rPr>
      <w:sz w:val="22"/>
      <w:szCs w:val="22"/>
      <w:lang w:val="en-GB" w:eastAsia="zh-CN"/>
    </w:rPr>
  </w:style>
  <w:style w:type="character" w:customStyle="1" w:styleId="Heading1Char">
    <w:name w:val="Heading 1 Char"/>
    <w:basedOn w:val="DefaultParagraphFont"/>
    <w:link w:val="Heading1"/>
    <w:rsid w:val="00D03B78"/>
    <w:rPr>
      <w:b/>
      <w:bCs/>
      <w:caps/>
      <w:kern w:val="28"/>
      <w:sz w:val="22"/>
      <w:szCs w:val="22"/>
      <w:lang w:val="en-GB" w:eastAsia="zh-CN"/>
    </w:rPr>
  </w:style>
  <w:style w:type="character" w:customStyle="1" w:styleId="Heading2Char">
    <w:name w:val="Heading 2 Char"/>
    <w:basedOn w:val="DefaultParagraphFont"/>
    <w:link w:val="Heading2"/>
    <w:rsid w:val="00D03B78"/>
    <w:rPr>
      <w:b/>
      <w:bCs/>
      <w:sz w:val="22"/>
      <w:szCs w:val="22"/>
      <w:lang w:val="en-GB" w:eastAsia="zh-CN"/>
    </w:rPr>
  </w:style>
  <w:style w:type="character" w:customStyle="1" w:styleId="Heading3Char">
    <w:name w:val="Heading 3 Char"/>
    <w:basedOn w:val="DefaultParagraphFont"/>
    <w:link w:val="Heading3"/>
    <w:rsid w:val="00D03B78"/>
    <w:rPr>
      <w:b/>
      <w:bCs/>
      <w:i/>
      <w:iCs/>
      <w:sz w:val="22"/>
      <w:szCs w:val="22"/>
      <w:lang w:val="en-GB" w:eastAsia="zh-CN"/>
    </w:rPr>
  </w:style>
  <w:style w:type="character" w:customStyle="1" w:styleId="Heading4Char">
    <w:name w:val="Heading 4 Char"/>
    <w:basedOn w:val="DefaultParagraphFont"/>
    <w:link w:val="Heading4"/>
    <w:rsid w:val="00D03B78"/>
    <w:rPr>
      <w:i/>
      <w:iCs/>
      <w:sz w:val="22"/>
      <w:szCs w:val="22"/>
      <w:lang w:val="en-GB" w:eastAsia="zh-CN"/>
    </w:rPr>
  </w:style>
  <w:style w:type="character" w:customStyle="1" w:styleId="Heading5Char">
    <w:name w:val="Heading 5 Char"/>
    <w:basedOn w:val="DefaultParagraphFont"/>
    <w:link w:val="Heading5"/>
    <w:rsid w:val="00D03B78"/>
    <w:rPr>
      <w:sz w:val="22"/>
      <w:szCs w:val="22"/>
      <w:lang w:val="en-GB" w:eastAsia="zh-CN"/>
    </w:rPr>
  </w:style>
  <w:style w:type="character" w:customStyle="1" w:styleId="Heading6Char">
    <w:name w:val="Heading 6 Char"/>
    <w:basedOn w:val="DefaultParagraphFont"/>
    <w:link w:val="Heading6"/>
    <w:rsid w:val="00D03B78"/>
    <w:rPr>
      <w:b/>
      <w:bCs/>
      <w:sz w:val="22"/>
      <w:szCs w:val="22"/>
      <w:lang w:val="en-GB" w:eastAsia="zh-CN"/>
    </w:rPr>
  </w:style>
  <w:style w:type="character" w:customStyle="1" w:styleId="Heading7Char">
    <w:name w:val="Heading 7 Char"/>
    <w:basedOn w:val="DefaultParagraphFont"/>
    <w:link w:val="Heading7"/>
    <w:rsid w:val="00D03B78"/>
    <w:rPr>
      <w:sz w:val="24"/>
      <w:szCs w:val="24"/>
      <w:lang w:val="en-GB" w:eastAsia="zh-CN"/>
    </w:rPr>
  </w:style>
  <w:style w:type="character" w:customStyle="1" w:styleId="Heading8Char">
    <w:name w:val="Heading 8 Char"/>
    <w:basedOn w:val="DefaultParagraphFont"/>
    <w:link w:val="Heading8"/>
    <w:rsid w:val="00D03B78"/>
    <w:rPr>
      <w:i/>
      <w:iCs/>
      <w:sz w:val="24"/>
      <w:szCs w:val="24"/>
      <w:lang w:val="en-GB" w:eastAsia="zh-CN"/>
    </w:rPr>
  </w:style>
  <w:style w:type="character" w:customStyle="1" w:styleId="Heading9Char">
    <w:name w:val="Heading 9 Char"/>
    <w:basedOn w:val="DefaultParagraphFont"/>
    <w:link w:val="Heading9"/>
    <w:rsid w:val="00D03B78"/>
    <w:rPr>
      <w:rFonts w:ascii="Arial" w:hAnsi="Arial" w:cs="Arial"/>
      <w:sz w:val="22"/>
      <w:szCs w:val="22"/>
      <w:lang w:val="en-GB" w:eastAsia="zh-CN"/>
    </w:rPr>
  </w:style>
  <w:style w:type="character" w:customStyle="1" w:styleId="BodyTextChar">
    <w:name w:val="Body Text Char"/>
    <w:aliases w:val="text Char,Body Text2 Char"/>
    <w:basedOn w:val="DefaultParagraphFont"/>
    <w:link w:val="BodyText"/>
    <w:rsid w:val="00D03B78"/>
    <w:rPr>
      <w:sz w:val="22"/>
      <w:szCs w:val="22"/>
      <w:lang w:val="en-GB" w:eastAsia="zh-CN"/>
    </w:rPr>
  </w:style>
  <w:style w:type="character" w:customStyle="1" w:styleId="EndnoteTextChar">
    <w:name w:val="Endnote Text Char"/>
    <w:basedOn w:val="DefaultParagraphFont"/>
    <w:link w:val="EndnoteText"/>
    <w:semiHidden/>
    <w:rsid w:val="00D03B78"/>
    <w:rPr>
      <w:lang w:val="en-GB" w:eastAsia="zh-CN"/>
    </w:rPr>
  </w:style>
  <w:style w:type="character" w:customStyle="1" w:styleId="FootnoteTextChar">
    <w:name w:val="Footnote Text Char"/>
    <w:aliases w:val="Fußnotentext Char Char1,fn Char1,Footnote ak Char1,FußnotentextE Char1,Footnote ak Carattere Char1"/>
    <w:basedOn w:val="DefaultParagraphFont"/>
    <w:link w:val="FootnoteText"/>
    <w:semiHidden/>
    <w:rsid w:val="00D03B78"/>
    <w:rPr>
      <w:lang w:val="en-GB" w:eastAsia="zh-CN"/>
    </w:rPr>
  </w:style>
  <w:style w:type="character" w:customStyle="1" w:styleId="HTMLAddressChar">
    <w:name w:val="HTML Address Char"/>
    <w:basedOn w:val="DefaultParagraphFont"/>
    <w:link w:val="HTMLAddress"/>
    <w:rsid w:val="00D03B78"/>
    <w:rPr>
      <w:i/>
      <w:iCs/>
      <w:sz w:val="22"/>
      <w:szCs w:val="22"/>
      <w:lang w:val="en-GB" w:eastAsia="zh-CN"/>
    </w:rPr>
  </w:style>
  <w:style w:type="character" w:customStyle="1" w:styleId="CommentTextChar">
    <w:name w:val="Comment Text Char"/>
    <w:basedOn w:val="DefaultParagraphFont"/>
    <w:link w:val="CommentText"/>
    <w:semiHidden/>
    <w:rsid w:val="00D03B78"/>
    <w:rPr>
      <w:lang w:val="en-GB" w:eastAsia="zh-CN"/>
    </w:rPr>
  </w:style>
  <w:style w:type="character" w:customStyle="1" w:styleId="BodyText2Char">
    <w:name w:val="Body Text 2 Char"/>
    <w:basedOn w:val="DefaultParagraphFont"/>
    <w:link w:val="BodyText2"/>
    <w:rsid w:val="00D03B78"/>
    <w:rPr>
      <w:sz w:val="22"/>
      <w:szCs w:val="22"/>
      <w:lang w:val="en-GB" w:eastAsia="zh-CN"/>
    </w:rPr>
  </w:style>
  <w:style w:type="character" w:customStyle="1" w:styleId="BodyText3Char">
    <w:name w:val="Body Text 3 Char"/>
    <w:basedOn w:val="DefaultParagraphFont"/>
    <w:link w:val="BodyText3"/>
    <w:rsid w:val="00D03B78"/>
    <w:rPr>
      <w:sz w:val="16"/>
      <w:szCs w:val="16"/>
      <w:lang w:val="en-GB" w:eastAsia="zh-CN"/>
    </w:rPr>
  </w:style>
  <w:style w:type="character" w:customStyle="1" w:styleId="DateChar">
    <w:name w:val="Date Char"/>
    <w:basedOn w:val="DefaultParagraphFont"/>
    <w:link w:val="Date"/>
    <w:rsid w:val="00D03B78"/>
    <w:rPr>
      <w:sz w:val="22"/>
      <w:szCs w:val="22"/>
      <w:lang w:val="en-GB" w:eastAsia="zh-CN"/>
    </w:rPr>
  </w:style>
  <w:style w:type="character" w:customStyle="1" w:styleId="HeaderChar">
    <w:name w:val="Header Char"/>
    <w:basedOn w:val="DefaultParagraphFont"/>
    <w:link w:val="Header"/>
    <w:rsid w:val="00D03B78"/>
    <w:rPr>
      <w:sz w:val="22"/>
      <w:szCs w:val="22"/>
      <w:lang w:val="en-GB" w:eastAsia="zh-CN"/>
    </w:rPr>
  </w:style>
  <w:style w:type="character" w:customStyle="1" w:styleId="MessageHeaderChar">
    <w:name w:val="Message Header Char"/>
    <w:basedOn w:val="DefaultParagraphFont"/>
    <w:link w:val="MessageHeader"/>
    <w:rsid w:val="00D03B78"/>
    <w:rPr>
      <w:rFonts w:ascii="Arial" w:hAnsi="Arial" w:cs="Arial"/>
      <w:sz w:val="24"/>
      <w:szCs w:val="24"/>
      <w:shd w:val="pct20" w:color="auto" w:fill="auto"/>
      <w:lang w:val="en-GB" w:eastAsia="zh-CN"/>
    </w:rPr>
  </w:style>
  <w:style w:type="character" w:customStyle="1" w:styleId="DocumentMapChar">
    <w:name w:val="Document Map Char"/>
    <w:basedOn w:val="DefaultParagraphFont"/>
    <w:link w:val="DocumentMap"/>
    <w:semiHidden/>
    <w:rsid w:val="00D03B78"/>
    <w:rPr>
      <w:rFonts w:ascii="Tahoma" w:hAnsi="Tahoma" w:cs="Tahoma"/>
      <w:sz w:val="22"/>
      <w:szCs w:val="22"/>
      <w:shd w:val="clear" w:color="auto" w:fill="000080"/>
      <w:lang w:val="en-GB" w:eastAsia="zh-CN"/>
    </w:rPr>
  </w:style>
  <w:style w:type="character" w:customStyle="1" w:styleId="ClosingChar">
    <w:name w:val="Closing Char"/>
    <w:basedOn w:val="DefaultParagraphFont"/>
    <w:link w:val="Closing"/>
    <w:rsid w:val="00D03B78"/>
    <w:rPr>
      <w:sz w:val="22"/>
      <w:szCs w:val="22"/>
      <w:lang w:val="en-GB" w:eastAsia="zh-CN"/>
    </w:rPr>
  </w:style>
  <w:style w:type="character" w:customStyle="1" w:styleId="CommentSubjectChar">
    <w:name w:val="Comment Subject Char"/>
    <w:basedOn w:val="CommentTextChar"/>
    <w:link w:val="CommentSubject"/>
    <w:semiHidden/>
    <w:rsid w:val="00D03B78"/>
    <w:rPr>
      <w:b/>
      <w:bCs/>
      <w:lang w:val="en-GB" w:eastAsia="zh-CN"/>
    </w:rPr>
  </w:style>
  <w:style w:type="character" w:customStyle="1" w:styleId="FooterChar">
    <w:name w:val="Footer Char"/>
    <w:basedOn w:val="DefaultParagraphFont"/>
    <w:link w:val="Footer"/>
    <w:uiPriority w:val="99"/>
    <w:rsid w:val="00D03B78"/>
    <w:rPr>
      <w:sz w:val="22"/>
      <w:szCs w:val="22"/>
      <w:lang w:val="en-GB" w:eastAsia="zh-CN"/>
    </w:rPr>
  </w:style>
  <w:style w:type="character" w:customStyle="1" w:styleId="HTMLPreformattedChar">
    <w:name w:val="HTML Preformatted Char"/>
    <w:basedOn w:val="DefaultParagraphFont"/>
    <w:link w:val="HTMLPreformatted"/>
    <w:rsid w:val="00D03B78"/>
    <w:rPr>
      <w:rFonts w:ascii="Courier New" w:hAnsi="Courier New" w:cs="Courier New"/>
      <w:lang w:val="en-GB" w:eastAsia="zh-CN"/>
    </w:rPr>
  </w:style>
  <w:style w:type="character" w:customStyle="1" w:styleId="BodyTextFirstIndentChar">
    <w:name w:val="Body Text First Indent Char"/>
    <w:basedOn w:val="BodyTextChar"/>
    <w:link w:val="BodyTextFirstIndent"/>
    <w:rsid w:val="00D03B78"/>
    <w:rPr>
      <w:sz w:val="22"/>
      <w:szCs w:val="22"/>
      <w:lang w:val="en-GB" w:eastAsia="zh-CN"/>
    </w:rPr>
  </w:style>
  <w:style w:type="character" w:customStyle="1" w:styleId="BodyTextIndentChar">
    <w:name w:val="Body Text Indent Char"/>
    <w:basedOn w:val="DefaultParagraphFont"/>
    <w:link w:val="BodyTextIndent"/>
    <w:rsid w:val="00D03B78"/>
    <w:rPr>
      <w:sz w:val="22"/>
      <w:szCs w:val="22"/>
      <w:lang w:val="en-GB" w:eastAsia="zh-CN"/>
    </w:rPr>
  </w:style>
  <w:style w:type="character" w:customStyle="1" w:styleId="BodyTextIndent2Char">
    <w:name w:val="Body Text Indent 2 Char"/>
    <w:basedOn w:val="DefaultParagraphFont"/>
    <w:link w:val="BodyTextIndent2"/>
    <w:rsid w:val="00D03B78"/>
    <w:rPr>
      <w:sz w:val="22"/>
      <w:szCs w:val="22"/>
      <w:lang w:val="en-GB" w:eastAsia="zh-CN"/>
    </w:rPr>
  </w:style>
  <w:style w:type="character" w:customStyle="1" w:styleId="BodyTextIndent3Char">
    <w:name w:val="Body Text Indent 3 Char"/>
    <w:basedOn w:val="DefaultParagraphFont"/>
    <w:link w:val="BodyTextIndent3"/>
    <w:rsid w:val="00D03B78"/>
    <w:rPr>
      <w:sz w:val="16"/>
      <w:szCs w:val="16"/>
      <w:lang w:val="en-GB" w:eastAsia="zh-CN"/>
    </w:rPr>
  </w:style>
  <w:style w:type="character" w:customStyle="1" w:styleId="BodyTextFirstIndent2Char">
    <w:name w:val="Body Text First Indent 2 Char"/>
    <w:basedOn w:val="BodyTextIndentChar"/>
    <w:link w:val="BodyTextFirstIndent2"/>
    <w:rsid w:val="00D03B78"/>
    <w:rPr>
      <w:sz w:val="22"/>
      <w:szCs w:val="22"/>
      <w:lang w:val="en-GB" w:eastAsia="zh-CN"/>
    </w:rPr>
  </w:style>
  <w:style w:type="character" w:customStyle="1" w:styleId="SalutationChar">
    <w:name w:val="Salutation Char"/>
    <w:basedOn w:val="DefaultParagraphFont"/>
    <w:link w:val="Salutation"/>
    <w:rsid w:val="00D03B78"/>
    <w:rPr>
      <w:sz w:val="22"/>
      <w:szCs w:val="22"/>
      <w:lang w:val="en-GB" w:eastAsia="zh-CN"/>
    </w:rPr>
  </w:style>
  <w:style w:type="character" w:customStyle="1" w:styleId="SignatureChar">
    <w:name w:val="Signature Char"/>
    <w:basedOn w:val="DefaultParagraphFont"/>
    <w:link w:val="Signature"/>
    <w:rsid w:val="00D03B78"/>
    <w:rPr>
      <w:sz w:val="22"/>
      <w:szCs w:val="22"/>
      <w:lang w:val="en-GB" w:eastAsia="zh-CN"/>
    </w:rPr>
  </w:style>
  <w:style w:type="character" w:customStyle="1" w:styleId="E-mailSignatureChar">
    <w:name w:val="E-mail Signature Char"/>
    <w:basedOn w:val="DefaultParagraphFont"/>
    <w:link w:val="E-mailSignature"/>
    <w:rsid w:val="00D03B78"/>
    <w:rPr>
      <w:sz w:val="22"/>
      <w:szCs w:val="22"/>
      <w:lang w:val="en-GB" w:eastAsia="zh-CN"/>
    </w:rPr>
  </w:style>
  <w:style w:type="character" w:customStyle="1" w:styleId="SubtitleChar">
    <w:name w:val="Subtitle Char"/>
    <w:basedOn w:val="DefaultParagraphFont"/>
    <w:link w:val="Subtitle"/>
    <w:rsid w:val="00D03B78"/>
    <w:rPr>
      <w:rFonts w:ascii="Arial" w:hAnsi="Arial" w:cs="Arial"/>
      <w:sz w:val="24"/>
      <w:szCs w:val="24"/>
      <w:lang w:val="en-GB" w:eastAsia="zh-CN"/>
    </w:rPr>
  </w:style>
  <w:style w:type="character" w:customStyle="1" w:styleId="PlainTextChar">
    <w:name w:val="Plain Text Char"/>
    <w:basedOn w:val="DefaultParagraphFont"/>
    <w:link w:val="PlainText"/>
    <w:rsid w:val="00D03B78"/>
    <w:rPr>
      <w:rFonts w:ascii="Courier New" w:hAnsi="Courier New" w:cs="Courier New"/>
      <w:lang w:val="en-GB" w:eastAsia="zh-CN"/>
    </w:rPr>
  </w:style>
  <w:style w:type="character" w:customStyle="1" w:styleId="BalloonTextChar">
    <w:name w:val="Balloon Text Char"/>
    <w:basedOn w:val="DefaultParagraphFont"/>
    <w:link w:val="BalloonText"/>
    <w:semiHidden/>
    <w:rsid w:val="00D03B78"/>
    <w:rPr>
      <w:rFonts w:ascii="Tahoma" w:hAnsi="Tahoma" w:cs="Tahoma"/>
      <w:sz w:val="16"/>
      <w:szCs w:val="16"/>
      <w:lang w:val="en-GB" w:eastAsia="zh-CN"/>
    </w:rPr>
  </w:style>
  <w:style w:type="character" w:customStyle="1" w:styleId="MacroTextChar">
    <w:name w:val="Macro Text Char"/>
    <w:basedOn w:val="DefaultParagraphFont"/>
    <w:link w:val="MacroText"/>
    <w:semiHidden/>
    <w:rsid w:val="00D03B78"/>
    <w:rPr>
      <w:rFonts w:ascii="Courier New" w:hAnsi="Courier New" w:cs="Courier New"/>
      <w:lang w:val="en-GB" w:eastAsia="zh-CN"/>
    </w:rPr>
  </w:style>
  <w:style w:type="character" w:customStyle="1" w:styleId="TitleChar">
    <w:name w:val="Title Char"/>
    <w:basedOn w:val="DefaultParagraphFont"/>
    <w:link w:val="Title"/>
    <w:rsid w:val="00D03B78"/>
    <w:rPr>
      <w:rFonts w:ascii="Arial" w:hAnsi="Arial" w:cs="Arial"/>
      <w:b/>
      <w:bCs/>
      <w:kern w:val="28"/>
      <w:sz w:val="32"/>
      <w:szCs w:val="32"/>
      <w:lang w:val="en-GB" w:eastAsia="zh-CN"/>
    </w:rPr>
  </w:style>
  <w:style w:type="character" w:customStyle="1" w:styleId="NoteHeadingChar">
    <w:name w:val="Note Heading Char"/>
    <w:basedOn w:val="DefaultParagraphFont"/>
    <w:link w:val="NoteHeading"/>
    <w:rsid w:val="00D03B78"/>
    <w:rPr>
      <w:sz w:val="22"/>
      <w:szCs w:val="22"/>
      <w:lang w:val="en-GB" w:eastAsia="zh-CN"/>
    </w:rPr>
  </w:style>
  <w:style w:type="paragraph" w:customStyle="1" w:styleId="AcknowledgmentHeading">
    <w:name w:val="Acknowledgment Heading"/>
    <w:basedOn w:val="Normal"/>
    <w:next w:val="BodyText"/>
    <w:rsid w:val="00D03B78"/>
    <w:pPr>
      <w:keepNext/>
      <w:spacing w:before="1200" w:after="720"/>
      <w:jc w:val="center"/>
    </w:pPr>
    <w:rPr>
      <w:b/>
      <w:caps/>
      <w:lang w:val="en-US"/>
    </w:rPr>
  </w:style>
  <w:style w:type="character" w:styleId="Hyperlink">
    <w:name w:val="Hyperlink"/>
    <w:uiPriority w:val="99"/>
    <w:rsid w:val="00D03B78"/>
    <w:rPr>
      <w:color w:val="0000FF"/>
      <w:u w:val="single"/>
    </w:rPr>
  </w:style>
  <w:style w:type="table" w:styleId="TableGrid">
    <w:name w:val="Table Grid"/>
    <w:basedOn w:val="TableNormal"/>
    <w:uiPriority w:val="59"/>
    <w:rsid w:val="00D03B78"/>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DocParagraphChar">
    <w:name w:val="Num-Doc Paragraph Char"/>
    <w:link w:val="Num-DocParagraph"/>
    <w:rsid w:val="00D03B78"/>
    <w:rPr>
      <w:sz w:val="22"/>
      <w:szCs w:val="22"/>
      <w:lang w:val="en-GB" w:eastAsia="zh-CN"/>
    </w:rPr>
  </w:style>
  <w:style w:type="character" w:customStyle="1" w:styleId="ListBulletChar">
    <w:name w:val="List Bullet Char"/>
    <w:link w:val="ListBullet"/>
    <w:rsid w:val="00D03B78"/>
    <w:rPr>
      <w:sz w:val="22"/>
      <w:szCs w:val="22"/>
      <w:lang w:val="en-GB" w:eastAsia="zh-CN"/>
    </w:rPr>
  </w:style>
  <w:style w:type="character" w:customStyle="1" w:styleId="BoxBodyTextChar">
    <w:name w:val="Box Body Text Char"/>
    <w:link w:val="BoxBodyText"/>
    <w:rsid w:val="00D03B78"/>
    <w:rPr>
      <w:rFonts w:ascii="Arial" w:hAnsi="Arial" w:cs="Arial"/>
      <w:sz w:val="18"/>
      <w:szCs w:val="22"/>
      <w:lang w:eastAsia="zh-CN"/>
    </w:rPr>
  </w:style>
  <w:style w:type="character" w:styleId="FollowedHyperlink">
    <w:name w:val="FollowedHyperlink"/>
    <w:rsid w:val="00D03B78"/>
    <w:rPr>
      <w:color w:val="800080"/>
      <w:u w:val="single"/>
    </w:rPr>
  </w:style>
  <w:style w:type="character" w:customStyle="1" w:styleId="Heading4Char1">
    <w:name w:val="Heading 4 Char1"/>
    <w:rsid w:val="00D03B78"/>
    <w:rPr>
      <w:i/>
      <w:iCs/>
      <w:sz w:val="22"/>
      <w:szCs w:val="22"/>
      <w:lang w:val="en-GB" w:eastAsia="zh-CN" w:bidi="ar-SA"/>
    </w:rPr>
  </w:style>
  <w:style w:type="character" w:styleId="CommentReference">
    <w:name w:val="annotation reference"/>
    <w:semiHidden/>
    <w:rsid w:val="00D03B78"/>
    <w:rPr>
      <w:sz w:val="16"/>
      <w:szCs w:val="16"/>
    </w:rPr>
  </w:style>
  <w:style w:type="character" w:styleId="EndnoteReference">
    <w:name w:val="endnote reference"/>
    <w:uiPriority w:val="99"/>
    <w:semiHidden/>
    <w:rsid w:val="00D03B78"/>
    <w:rPr>
      <w:noProof w:val="0"/>
      <w:vertAlign w:val="superscript"/>
      <w:lang w:val="en-GB"/>
    </w:rPr>
  </w:style>
  <w:style w:type="character" w:styleId="Emphasis">
    <w:name w:val="Emphasis"/>
    <w:qFormat/>
    <w:rsid w:val="00D03B78"/>
    <w:rPr>
      <w:i/>
      <w:iCs/>
    </w:rPr>
  </w:style>
  <w:style w:type="paragraph" w:customStyle="1" w:styleId="pbox">
    <w:name w:val="pbox"/>
    <w:basedOn w:val="Normal"/>
    <w:rsid w:val="00D03B78"/>
    <w:pPr>
      <w:tabs>
        <w:tab w:val="clear" w:pos="850"/>
        <w:tab w:val="clear" w:pos="1191"/>
        <w:tab w:val="clear" w:pos="1531"/>
      </w:tabs>
      <w:spacing w:before="100" w:beforeAutospacing="1" w:after="100" w:afterAutospacing="1"/>
      <w:jc w:val="left"/>
    </w:pPr>
    <w:rPr>
      <w:sz w:val="24"/>
      <w:szCs w:val="24"/>
      <w:lang w:val="en-US" w:eastAsia="en-US"/>
    </w:rPr>
  </w:style>
  <w:style w:type="character" w:customStyle="1" w:styleId="FigureNoteChar">
    <w:name w:val="Figure Note Char"/>
    <w:link w:val="FigureNote"/>
    <w:rsid w:val="00D03B78"/>
    <w:rPr>
      <w:rFonts w:ascii="Arial" w:hAnsi="Arial" w:cs="Arial"/>
      <w:sz w:val="16"/>
      <w:szCs w:val="18"/>
      <w:lang w:val="en-GB" w:eastAsia="zh-CN"/>
    </w:rPr>
  </w:style>
  <w:style w:type="character" w:styleId="PlaceholderText">
    <w:name w:val="Placeholder Text"/>
    <w:uiPriority w:val="99"/>
    <w:semiHidden/>
    <w:rsid w:val="00D03B78"/>
    <w:rPr>
      <w:color w:val="808080"/>
    </w:rPr>
  </w:style>
  <w:style w:type="paragraph" w:styleId="Revision">
    <w:name w:val="Revision"/>
    <w:hidden/>
    <w:uiPriority w:val="99"/>
    <w:semiHidden/>
    <w:rsid w:val="00D03B78"/>
    <w:rPr>
      <w:sz w:val="22"/>
      <w:szCs w:val="22"/>
      <w:lang w:val="en-GB" w:eastAsia="zh-CN"/>
    </w:rPr>
  </w:style>
  <w:style w:type="character" w:styleId="Strong">
    <w:name w:val="Strong"/>
    <w:qFormat/>
    <w:rsid w:val="00D03B78"/>
    <w:rPr>
      <w:b/>
      <w:bCs/>
    </w:rPr>
  </w:style>
  <w:style w:type="table" w:customStyle="1" w:styleId="LightGrid-Accent11">
    <w:name w:val="Light Grid - Accent 11"/>
    <w:basedOn w:val="TableNormal"/>
    <w:uiPriority w:val="62"/>
    <w:rsid w:val="00D03B78"/>
    <w:rPr>
      <w:rFonts w:ascii="Calibri" w:eastAsia="Calibri" w:hAnsi="Calibri"/>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Calendar1">
    <w:name w:val="Calendar 1"/>
    <w:basedOn w:val="TableNormal"/>
    <w:uiPriority w:val="99"/>
    <w:qFormat/>
    <w:rsid w:val="00D03B78"/>
    <w:rPr>
      <w:rFonts w:ascii="Calibri" w:hAnsi="Calibri"/>
      <w:sz w:val="22"/>
      <w:szCs w:val="22"/>
      <w:lang w:val="en-GB" w:eastAsia="en-GB"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Blockquote">
    <w:name w:val="Blockquote"/>
    <w:basedOn w:val="Normal"/>
    <w:rsid w:val="00D03B78"/>
    <w:pPr>
      <w:tabs>
        <w:tab w:val="clear" w:pos="850"/>
        <w:tab w:val="clear" w:pos="1191"/>
        <w:tab w:val="clear" w:pos="1531"/>
      </w:tabs>
      <w:snapToGrid w:val="0"/>
      <w:spacing w:before="100" w:after="100"/>
      <w:ind w:left="360" w:right="360"/>
      <w:jc w:val="left"/>
    </w:pPr>
    <w:rPr>
      <w:sz w:val="24"/>
      <w:szCs w:val="20"/>
      <w:lang w:val="en-US" w:eastAsia="ja-JP"/>
    </w:rPr>
  </w:style>
  <w:style w:type="character" w:customStyle="1" w:styleId="FootnoteTextChar1">
    <w:name w:val="Footnote Text Char1"/>
    <w:aliases w:val="Fußnotentext Char Char,Footnote Text Char Char,fn Char,Footnote ak Char,FußnotentextE Char,Footnote ak Carattere Char"/>
    <w:rsid w:val="00D03B78"/>
    <w:rPr>
      <w:lang w:val="en-GB" w:eastAsia="en-US" w:bidi="ar-SA"/>
    </w:rPr>
  </w:style>
  <w:style w:type="character" w:customStyle="1" w:styleId="BoxHeadingChar">
    <w:name w:val="Box Heading Char"/>
    <w:link w:val="BoxHeading"/>
    <w:rsid w:val="00D03B78"/>
    <w:rPr>
      <w:rFonts w:ascii="Arial" w:hAnsi="Arial" w:cs="Arial"/>
      <w:b/>
      <w:bCs/>
      <w:sz w:val="18"/>
      <w:szCs w:val="22"/>
      <w:lang w:val="en-GB" w:eastAsia="zh-CN"/>
    </w:rPr>
  </w:style>
  <w:style w:type="paragraph" w:customStyle="1" w:styleId="DefaultParagraphFontCharChar">
    <w:name w:val="Default Paragraph Font Char Char"/>
    <w:aliases w:val="Default Paragraph Font Para Char Char Char Char"/>
    <w:basedOn w:val="Normal"/>
    <w:rsid w:val="00D03B78"/>
    <w:pPr>
      <w:tabs>
        <w:tab w:val="clear" w:pos="850"/>
        <w:tab w:val="clear" w:pos="1191"/>
        <w:tab w:val="clear" w:pos="1531"/>
      </w:tabs>
      <w:spacing w:after="160" w:line="240" w:lineRule="exact"/>
      <w:jc w:val="left"/>
    </w:pPr>
    <w:rPr>
      <w:rFonts w:ascii="Arial" w:hAnsi="Arial"/>
      <w:sz w:val="20"/>
      <w:szCs w:val="20"/>
      <w:lang w:val="fr-FR" w:eastAsia="en-US"/>
    </w:rPr>
  </w:style>
  <w:style w:type="character" w:customStyle="1" w:styleId="SourceDescriptionChar">
    <w:name w:val="Source Description Char"/>
    <w:link w:val="SourceDescription"/>
    <w:rsid w:val="00D03B78"/>
    <w:rPr>
      <w:rFonts w:ascii="Arial" w:hAnsi="Arial" w:cs="Arial"/>
      <w:sz w:val="16"/>
      <w:szCs w:val="18"/>
      <w:lang w:val="en-GB" w:eastAsia="zh-CN"/>
    </w:rPr>
  </w:style>
  <w:style w:type="paragraph" w:customStyle="1" w:styleId="xl64">
    <w:name w:val="xl64"/>
    <w:basedOn w:val="Normal"/>
    <w:rsid w:val="00D03B78"/>
    <w:pPr>
      <w:tabs>
        <w:tab w:val="clear" w:pos="850"/>
        <w:tab w:val="clear" w:pos="1191"/>
        <w:tab w:val="clear" w:pos="1531"/>
      </w:tabs>
      <w:spacing w:before="100" w:beforeAutospacing="1" w:after="100" w:afterAutospacing="1"/>
      <w:jc w:val="left"/>
      <w:textAlignment w:val="center"/>
    </w:pPr>
    <w:rPr>
      <w:sz w:val="24"/>
      <w:szCs w:val="24"/>
      <w:lang w:eastAsia="en-GB"/>
    </w:rPr>
  </w:style>
  <w:style w:type="paragraph" w:customStyle="1" w:styleId="xl65">
    <w:name w:val="xl65"/>
    <w:basedOn w:val="Normal"/>
    <w:rsid w:val="00D03B78"/>
    <w:pP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66">
    <w:name w:val="xl66"/>
    <w:basedOn w:val="Normal"/>
    <w:rsid w:val="00D03B78"/>
    <w:pPr>
      <w:tabs>
        <w:tab w:val="clear" w:pos="850"/>
        <w:tab w:val="clear" w:pos="1191"/>
        <w:tab w:val="clear" w:pos="1531"/>
      </w:tabs>
      <w:spacing w:before="100" w:beforeAutospacing="1" w:after="100" w:afterAutospacing="1"/>
      <w:jc w:val="left"/>
      <w:textAlignment w:val="center"/>
    </w:pPr>
    <w:rPr>
      <w:b/>
      <w:bCs/>
      <w:color w:val="000000"/>
      <w:sz w:val="24"/>
      <w:szCs w:val="24"/>
      <w:lang w:eastAsia="en-GB"/>
    </w:rPr>
  </w:style>
  <w:style w:type="paragraph" w:customStyle="1" w:styleId="xl67">
    <w:name w:val="xl67"/>
    <w:basedOn w:val="Normal"/>
    <w:rsid w:val="00D03B78"/>
    <w:pPr>
      <w:pBdr>
        <w:top w:val="single" w:sz="4" w:space="0" w:color="auto"/>
        <w:left w:val="single" w:sz="8" w:space="0" w:color="auto"/>
        <w:bottom w:val="single" w:sz="4" w:space="0" w:color="auto"/>
        <w:right w:val="single" w:sz="4"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68">
    <w:name w:val="xl68"/>
    <w:basedOn w:val="Normal"/>
    <w:rsid w:val="00D03B78"/>
    <w:pPr>
      <w:pBdr>
        <w:top w:val="single" w:sz="4" w:space="0" w:color="auto"/>
        <w:left w:val="single" w:sz="4" w:space="0" w:color="auto"/>
        <w:bottom w:val="single" w:sz="4" w:space="0" w:color="auto"/>
        <w:right w:val="single" w:sz="4"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69">
    <w:name w:val="xl69"/>
    <w:basedOn w:val="Normal"/>
    <w:rsid w:val="00D03B78"/>
    <w:pPr>
      <w:pBdr>
        <w:top w:val="single" w:sz="4" w:space="0" w:color="auto"/>
        <w:left w:val="single" w:sz="4" w:space="0" w:color="auto"/>
        <w:bottom w:val="single" w:sz="4" w:space="0" w:color="auto"/>
        <w:right w:val="single" w:sz="8"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70">
    <w:name w:val="xl70"/>
    <w:basedOn w:val="Normal"/>
    <w:rsid w:val="00D03B78"/>
    <w:pPr>
      <w:pBdr>
        <w:left w:val="single" w:sz="8" w:space="0" w:color="auto"/>
        <w:right w:val="single" w:sz="4"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71">
    <w:name w:val="xl71"/>
    <w:basedOn w:val="Normal"/>
    <w:rsid w:val="00D03B78"/>
    <w:pPr>
      <w:pBdr>
        <w:left w:val="single" w:sz="4" w:space="0" w:color="auto"/>
        <w:right w:val="single" w:sz="8"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72">
    <w:name w:val="xl72"/>
    <w:basedOn w:val="Normal"/>
    <w:rsid w:val="00D03B78"/>
    <w:pPr>
      <w:pBdr>
        <w:top w:val="single" w:sz="8" w:space="0" w:color="auto"/>
        <w:left w:val="single" w:sz="8" w:space="0" w:color="auto"/>
        <w:right w:val="single" w:sz="4"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73">
    <w:name w:val="xl73"/>
    <w:basedOn w:val="Normal"/>
    <w:rsid w:val="00D03B78"/>
    <w:pPr>
      <w:pBdr>
        <w:left w:val="single" w:sz="4" w:space="0" w:color="auto"/>
        <w:right w:val="single" w:sz="8" w:space="0" w:color="auto"/>
      </w:pBdr>
      <w:tabs>
        <w:tab w:val="clear" w:pos="850"/>
        <w:tab w:val="clear" w:pos="1191"/>
        <w:tab w:val="clear" w:pos="1531"/>
      </w:tabs>
      <w:spacing w:before="100" w:beforeAutospacing="1" w:after="100" w:afterAutospacing="1"/>
      <w:jc w:val="left"/>
      <w:textAlignment w:val="center"/>
    </w:pPr>
    <w:rPr>
      <w:b/>
      <w:bCs/>
      <w:color w:val="000000"/>
      <w:sz w:val="24"/>
      <w:szCs w:val="24"/>
      <w:u w:val="single"/>
      <w:lang w:eastAsia="en-GB"/>
    </w:rPr>
  </w:style>
  <w:style w:type="paragraph" w:customStyle="1" w:styleId="xl74">
    <w:name w:val="xl74"/>
    <w:basedOn w:val="Normal"/>
    <w:rsid w:val="00D03B78"/>
    <w:pPr>
      <w:pBdr>
        <w:left w:val="single" w:sz="4" w:space="0" w:color="auto"/>
        <w:right w:val="single" w:sz="4"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75">
    <w:name w:val="xl75"/>
    <w:basedOn w:val="Normal"/>
    <w:rsid w:val="00D03B78"/>
    <w:pPr>
      <w:pBdr>
        <w:left w:val="single" w:sz="8" w:space="0" w:color="auto"/>
        <w:right w:val="single" w:sz="4" w:space="0" w:color="auto"/>
      </w:pBdr>
      <w:tabs>
        <w:tab w:val="clear" w:pos="850"/>
        <w:tab w:val="clear" w:pos="1191"/>
        <w:tab w:val="clear" w:pos="1531"/>
      </w:tabs>
      <w:spacing w:before="100" w:beforeAutospacing="1" w:after="100" w:afterAutospacing="1"/>
      <w:jc w:val="left"/>
      <w:textAlignment w:val="center"/>
    </w:pPr>
    <w:rPr>
      <w:b/>
      <w:bCs/>
      <w:color w:val="000000"/>
      <w:sz w:val="24"/>
      <w:szCs w:val="24"/>
      <w:u w:val="single"/>
      <w:lang w:eastAsia="en-GB"/>
    </w:rPr>
  </w:style>
  <w:style w:type="paragraph" w:customStyle="1" w:styleId="xl76">
    <w:name w:val="xl76"/>
    <w:basedOn w:val="Normal"/>
    <w:rsid w:val="00D03B78"/>
    <w:pPr>
      <w:pBdr>
        <w:left w:val="single" w:sz="4" w:space="0" w:color="auto"/>
        <w:right w:val="single" w:sz="8" w:space="0" w:color="auto"/>
      </w:pBdr>
      <w:tabs>
        <w:tab w:val="clear" w:pos="850"/>
        <w:tab w:val="clear" w:pos="1191"/>
        <w:tab w:val="clear" w:pos="1531"/>
      </w:tabs>
      <w:spacing w:before="100" w:beforeAutospacing="1" w:after="100" w:afterAutospacing="1"/>
      <w:jc w:val="left"/>
      <w:textAlignment w:val="center"/>
    </w:pPr>
    <w:rPr>
      <w:b/>
      <w:bCs/>
      <w:color w:val="000000"/>
      <w:sz w:val="24"/>
      <w:szCs w:val="24"/>
      <w:lang w:eastAsia="en-GB"/>
    </w:rPr>
  </w:style>
  <w:style w:type="paragraph" w:customStyle="1" w:styleId="xl77">
    <w:name w:val="xl77"/>
    <w:basedOn w:val="Normal"/>
    <w:rsid w:val="00D03B78"/>
    <w:pPr>
      <w:pBdr>
        <w:left w:val="single" w:sz="8" w:space="0" w:color="auto"/>
        <w:right w:val="single" w:sz="4" w:space="0" w:color="auto"/>
      </w:pBdr>
      <w:tabs>
        <w:tab w:val="clear" w:pos="850"/>
        <w:tab w:val="clear" w:pos="1191"/>
        <w:tab w:val="clear" w:pos="1531"/>
      </w:tabs>
      <w:spacing w:before="100" w:beforeAutospacing="1" w:after="100" w:afterAutospacing="1"/>
      <w:jc w:val="left"/>
      <w:textAlignment w:val="center"/>
    </w:pPr>
    <w:rPr>
      <w:b/>
      <w:bCs/>
      <w:color w:val="000000"/>
      <w:sz w:val="24"/>
      <w:szCs w:val="24"/>
      <w:lang w:eastAsia="en-GB"/>
    </w:rPr>
  </w:style>
  <w:style w:type="paragraph" w:customStyle="1" w:styleId="xl78">
    <w:name w:val="xl78"/>
    <w:basedOn w:val="Normal"/>
    <w:rsid w:val="00D03B78"/>
    <w:pPr>
      <w:pBdr>
        <w:left w:val="single" w:sz="4" w:space="11" w:color="auto"/>
        <w:right w:val="single" w:sz="8" w:space="0" w:color="auto"/>
      </w:pBdr>
      <w:tabs>
        <w:tab w:val="clear" w:pos="850"/>
        <w:tab w:val="clear" w:pos="1191"/>
        <w:tab w:val="clear" w:pos="1531"/>
      </w:tabs>
      <w:spacing w:before="100" w:beforeAutospacing="1" w:after="100" w:afterAutospacing="1"/>
      <w:ind w:firstLineChars="100" w:firstLine="100"/>
      <w:jc w:val="left"/>
      <w:textAlignment w:val="center"/>
    </w:pPr>
    <w:rPr>
      <w:b/>
      <w:bCs/>
      <w:color w:val="000000"/>
      <w:sz w:val="24"/>
      <w:szCs w:val="24"/>
      <w:lang w:eastAsia="en-GB"/>
    </w:rPr>
  </w:style>
  <w:style w:type="paragraph" w:customStyle="1" w:styleId="xl79">
    <w:name w:val="xl79"/>
    <w:basedOn w:val="Normal"/>
    <w:rsid w:val="00D03B78"/>
    <w:pPr>
      <w:pBdr>
        <w:left w:val="single" w:sz="8" w:space="11" w:color="auto"/>
        <w:right w:val="single" w:sz="4" w:space="0" w:color="auto"/>
      </w:pBdr>
      <w:tabs>
        <w:tab w:val="clear" w:pos="850"/>
        <w:tab w:val="clear" w:pos="1191"/>
        <w:tab w:val="clear" w:pos="1531"/>
      </w:tabs>
      <w:spacing w:before="100" w:beforeAutospacing="1" w:after="100" w:afterAutospacing="1"/>
      <w:ind w:firstLineChars="100" w:firstLine="100"/>
      <w:jc w:val="left"/>
      <w:textAlignment w:val="center"/>
    </w:pPr>
    <w:rPr>
      <w:b/>
      <w:bCs/>
      <w:color w:val="000000"/>
      <w:sz w:val="24"/>
      <w:szCs w:val="24"/>
      <w:lang w:eastAsia="en-GB"/>
    </w:rPr>
  </w:style>
  <w:style w:type="paragraph" w:customStyle="1" w:styleId="xl80">
    <w:name w:val="xl80"/>
    <w:basedOn w:val="Normal"/>
    <w:rsid w:val="00D03B78"/>
    <w:pPr>
      <w:pBdr>
        <w:left w:val="single" w:sz="4" w:space="11" w:color="auto"/>
        <w:right w:val="single" w:sz="8" w:space="0" w:color="auto"/>
      </w:pBdr>
      <w:tabs>
        <w:tab w:val="clear" w:pos="850"/>
        <w:tab w:val="clear" w:pos="1191"/>
        <w:tab w:val="clear" w:pos="1531"/>
      </w:tabs>
      <w:spacing w:before="100" w:beforeAutospacing="1" w:after="100" w:afterAutospacing="1"/>
      <w:ind w:firstLineChars="100" w:firstLine="100"/>
      <w:jc w:val="left"/>
      <w:textAlignment w:val="center"/>
    </w:pPr>
    <w:rPr>
      <w:sz w:val="24"/>
      <w:szCs w:val="24"/>
      <w:lang w:eastAsia="en-GB"/>
    </w:rPr>
  </w:style>
  <w:style w:type="paragraph" w:customStyle="1" w:styleId="xl81">
    <w:name w:val="xl81"/>
    <w:basedOn w:val="Normal"/>
    <w:rsid w:val="00D03B78"/>
    <w:pPr>
      <w:pBdr>
        <w:left w:val="single" w:sz="8" w:space="11" w:color="auto"/>
        <w:right w:val="single" w:sz="4" w:space="0" w:color="auto"/>
      </w:pBdr>
      <w:tabs>
        <w:tab w:val="clear" w:pos="850"/>
        <w:tab w:val="clear" w:pos="1191"/>
        <w:tab w:val="clear" w:pos="1531"/>
      </w:tabs>
      <w:spacing w:before="100" w:beforeAutospacing="1" w:after="100" w:afterAutospacing="1"/>
      <w:ind w:firstLineChars="100" w:firstLine="100"/>
      <w:jc w:val="left"/>
      <w:textAlignment w:val="center"/>
    </w:pPr>
    <w:rPr>
      <w:sz w:val="24"/>
      <w:szCs w:val="24"/>
      <w:lang w:eastAsia="en-GB"/>
    </w:rPr>
  </w:style>
  <w:style w:type="paragraph" w:customStyle="1" w:styleId="xl82">
    <w:name w:val="xl82"/>
    <w:basedOn w:val="Normal"/>
    <w:rsid w:val="00D03B78"/>
    <w:pPr>
      <w:pBdr>
        <w:left w:val="single" w:sz="8" w:space="0" w:color="auto"/>
        <w:right w:val="single" w:sz="4" w:space="0" w:color="auto"/>
      </w:pBdr>
      <w:shd w:val="clear" w:color="000000" w:fill="DAEEF3"/>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83">
    <w:name w:val="xl83"/>
    <w:basedOn w:val="Normal"/>
    <w:rsid w:val="00D03B78"/>
    <w:pPr>
      <w:pBdr>
        <w:left w:val="single" w:sz="4" w:space="0" w:color="auto"/>
        <w:right w:val="single" w:sz="8" w:space="0" w:color="auto"/>
      </w:pBdr>
      <w:shd w:val="clear" w:color="000000" w:fill="DAEEF3"/>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84">
    <w:name w:val="xl84"/>
    <w:basedOn w:val="Normal"/>
    <w:rsid w:val="00D03B78"/>
    <w:pPr>
      <w:pBdr>
        <w:left w:val="single" w:sz="8" w:space="0" w:color="auto"/>
        <w:right w:val="single" w:sz="4" w:space="0" w:color="auto"/>
      </w:pBdr>
      <w:shd w:val="clear" w:color="000000" w:fill="DAEEF3"/>
      <w:tabs>
        <w:tab w:val="clear" w:pos="850"/>
        <w:tab w:val="clear" w:pos="1191"/>
        <w:tab w:val="clear" w:pos="1531"/>
      </w:tabs>
      <w:spacing w:before="100" w:beforeAutospacing="1" w:after="100" w:afterAutospacing="1"/>
      <w:jc w:val="left"/>
      <w:textAlignment w:val="center"/>
    </w:pPr>
    <w:rPr>
      <w:b/>
      <w:bCs/>
      <w:i/>
      <w:iCs/>
      <w:color w:val="0070C0"/>
      <w:sz w:val="24"/>
      <w:szCs w:val="24"/>
      <w:lang w:eastAsia="en-GB"/>
    </w:rPr>
  </w:style>
  <w:style w:type="paragraph" w:customStyle="1" w:styleId="xl85">
    <w:name w:val="xl85"/>
    <w:basedOn w:val="Normal"/>
    <w:rsid w:val="00D03B78"/>
    <w:pPr>
      <w:pBdr>
        <w:top w:val="single" w:sz="8" w:space="0" w:color="auto"/>
        <w:left w:val="single" w:sz="4" w:space="0" w:color="auto"/>
        <w:right w:val="single" w:sz="8"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86">
    <w:name w:val="xl86"/>
    <w:basedOn w:val="Normal"/>
    <w:rsid w:val="00D03B78"/>
    <w:pPr>
      <w:pBdr>
        <w:left w:val="single" w:sz="8" w:space="0" w:color="auto"/>
        <w:right w:val="single" w:sz="4" w:space="0" w:color="auto"/>
      </w:pBdr>
      <w:tabs>
        <w:tab w:val="clear" w:pos="850"/>
        <w:tab w:val="clear" w:pos="1191"/>
        <w:tab w:val="clear" w:pos="1531"/>
      </w:tabs>
      <w:spacing w:before="100" w:beforeAutospacing="1" w:after="100" w:afterAutospacing="1"/>
      <w:jc w:val="left"/>
      <w:textAlignment w:val="center"/>
    </w:pPr>
    <w:rPr>
      <w:b/>
      <w:bCs/>
      <w:color w:val="000000"/>
      <w:sz w:val="24"/>
      <w:szCs w:val="24"/>
      <w:u w:val="single"/>
      <w:lang w:eastAsia="en-GB"/>
    </w:rPr>
  </w:style>
  <w:style w:type="paragraph" w:customStyle="1" w:styleId="xl87">
    <w:name w:val="xl87"/>
    <w:basedOn w:val="Normal"/>
    <w:rsid w:val="00D03B78"/>
    <w:pPr>
      <w:pBdr>
        <w:top w:val="single" w:sz="4" w:space="0" w:color="auto"/>
        <w:left w:val="single" w:sz="4" w:space="0" w:color="auto"/>
        <w:right w:val="single" w:sz="8" w:space="0" w:color="auto"/>
      </w:pBdr>
      <w:shd w:val="clear" w:color="000000" w:fill="8DB4E2"/>
      <w:tabs>
        <w:tab w:val="clear" w:pos="850"/>
        <w:tab w:val="clear" w:pos="1191"/>
        <w:tab w:val="clear" w:pos="1531"/>
      </w:tabs>
      <w:spacing w:before="100" w:beforeAutospacing="1" w:after="100" w:afterAutospacing="1"/>
      <w:jc w:val="left"/>
      <w:textAlignment w:val="center"/>
    </w:pPr>
    <w:rPr>
      <w:b/>
      <w:bCs/>
      <w:color w:val="000000"/>
      <w:sz w:val="24"/>
      <w:szCs w:val="24"/>
      <w:lang w:eastAsia="en-GB"/>
    </w:rPr>
  </w:style>
  <w:style w:type="paragraph" w:customStyle="1" w:styleId="xl88">
    <w:name w:val="xl88"/>
    <w:basedOn w:val="Normal"/>
    <w:rsid w:val="00D03B78"/>
    <w:pPr>
      <w:pBdr>
        <w:left w:val="single" w:sz="8" w:space="0" w:color="auto"/>
        <w:right w:val="single" w:sz="4" w:space="0" w:color="auto"/>
      </w:pBdr>
      <w:shd w:val="clear" w:color="000000" w:fill="8DB4E2"/>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89">
    <w:name w:val="xl89"/>
    <w:basedOn w:val="Normal"/>
    <w:rsid w:val="00D03B78"/>
    <w:pPr>
      <w:pBdr>
        <w:left w:val="single" w:sz="4" w:space="0" w:color="auto"/>
        <w:right w:val="single" w:sz="8" w:space="0" w:color="auto"/>
      </w:pBdr>
      <w:shd w:val="clear" w:color="000000" w:fill="8DB4E2"/>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0">
    <w:name w:val="xl90"/>
    <w:basedOn w:val="Normal"/>
    <w:rsid w:val="00D03B78"/>
    <w:pPr>
      <w:pBdr>
        <w:left w:val="single" w:sz="4" w:space="0" w:color="auto"/>
        <w:right w:val="single" w:sz="4" w:space="0" w:color="auto"/>
      </w:pBdr>
      <w:shd w:val="clear" w:color="000000" w:fill="8DB4E2"/>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1">
    <w:name w:val="xl91"/>
    <w:basedOn w:val="Normal"/>
    <w:rsid w:val="00D03B78"/>
    <w:pPr>
      <w:pBdr>
        <w:top w:val="single" w:sz="4" w:space="0" w:color="auto"/>
        <w:left w:val="single" w:sz="8" w:space="0" w:color="auto"/>
        <w:right w:val="single" w:sz="4" w:space="0" w:color="auto"/>
      </w:pBdr>
      <w:shd w:val="clear" w:color="000000" w:fill="8DB4E2"/>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3">
    <w:name w:val="xl93"/>
    <w:basedOn w:val="Normal"/>
    <w:rsid w:val="00D03B78"/>
    <w:pPr>
      <w:pBdr>
        <w:left w:val="single" w:sz="8" w:space="0" w:color="auto"/>
        <w:bottom w:val="single" w:sz="4"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4">
    <w:name w:val="xl94"/>
    <w:basedOn w:val="Normal"/>
    <w:rsid w:val="00D03B78"/>
    <w:pPr>
      <w:pBdr>
        <w:left w:val="single" w:sz="4" w:space="0" w:color="auto"/>
        <w:bottom w:val="single" w:sz="4" w:space="0" w:color="auto"/>
        <w:right w:val="single" w:sz="8"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5">
    <w:name w:val="xl95"/>
    <w:basedOn w:val="Normal"/>
    <w:rsid w:val="00D03B78"/>
    <w:pPr>
      <w:pBdr>
        <w:top w:val="single" w:sz="4" w:space="0" w:color="auto"/>
        <w:left w:val="single" w:sz="8" w:space="0" w:color="auto"/>
        <w:bottom w:val="single" w:sz="4"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6">
    <w:name w:val="xl96"/>
    <w:basedOn w:val="Normal"/>
    <w:rsid w:val="00D03B78"/>
    <w:pPr>
      <w:pBdr>
        <w:top w:val="single" w:sz="4" w:space="0" w:color="auto"/>
        <w:left w:val="single" w:sz="4" w:space="0" w:color="auto"/>
        <w:bottom w:val="single" w:sz="4" w:space="0" w:color="auto"/>
        <w:right w:val="single" w:sz="8"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7">
    <w:name w:val="xl97"/>
    <w:basedOn w:val="Normal"/>
    <w:rsid w:val="00D03B78"/>
    <w:pPr>
      <w:pBdr>
        <w:left w:val="single" w:sz="8" w:space="0" w:color="auto"/>
        <w:bottom w:val="single" w:sz="4"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8">
    <w:name w:val="xl98"/>
    <w:basedOn w:val="Normal"/>
    <w:rsid w:val="00D03B78"/>
    <w:pPr>
      <w:pBdr>
        <w:left w:val="single" w:sz="4" w:space="0" w:color="auto"/>
        <w:bottom w:val="single" w:sz="4" w:space="0" w:color="auto"/>
        <w:right w:val="single" w:sz="8"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99">
    <w:name w:val="xl99"/>
    <w:basedOn w:val="Normal"/>
    <w:rsid w:val="00D03B78"/>
    <w:pPr>
      <w:pBdr>
        <w:top w:val="single" w:sz="8" w:space="0" w:color="auto"/>
        <w:left w:val="single" w:sz="8" w:space="0" w:color="auto"/>
        <w:bottom w:val="single" w:sz="4"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100">
    <w:name w:val="xl100"/>
    <w:basedOn w:val="Normal"/>
    <w:rsid w:val="00D03B78"/>
    <w:pPr>
      <w:pBdr>
        <w:top w:val="single" w:sz="8" w:space="0" w:color="auto"/>
        <w:left w:val="single" w:sz="4" w:space="0" w:color="auto"/>
        <w:bottom w:val="single" w:sz="4" w:space="0" w:color="auto"/>
        <w:right w:val="single" w:sz="8"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101">
    <w:name w:val="xl101"/>
    <w:basedOn w:val="Normal"/>
    <w:rsid w:val="00D03B78"/>
    <w:pPr>
      <w:pBdr>
        <w:top w:val="single" w:sz="8" w:space="0" w:color="auto"/>
        <w:left w:val="single" w:sz="4" w:space="0" w:color="auto"/>
        <w:bottom w:val="single" w:sz="4"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102">
    <w:name w:val="xl102"/>
    <w:basedOn w:val="Normal"/>
    <w:rsid w:val="00D03B78"/>
    <w:pPr>
      <w:pBdr>
        <w:top w:val="single" w:sz="4" w:space="0" w:color="auto"/>
        <w:left w:val="single" w:sz="4" w:space="0" w:color="auto"/>
        <w:bottom w:val="single" w:sz="4"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103">
    <w:name w:val="xl103"/>
    <w:basedOn w:val="Normal"/>
    <w:rsid w:val="00D03B78"/>
    <w:pPr>
      <w:pBdr>
        <w:left w:val="single" w:sz="4" w:space="0" w:color="auto"/>
        <w:bottom w:val="single" w:sz="4"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104">
    <w:name w:val="xl104"/>
    <w:basedOn w:val="Normal"/>
    <w:rsid w:val="00D03B78"/>
    <w:pPr>
      <w:pBdr>
        <w:left w:val="single" w:sz="8" w:space="0" w:color="auto"/>
        <w:right w:val="single" w:sz="4" w:space="0" w:color="auto"/>
      </w:pBdr>
      <w:shd w:val="clear" w:color="000000" w:fill="FFFFFF"/>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105">
    <w:name w:val="xl105"/>
    <w:basedOn w:val="Normal"/>
    <w:rsid w:val="00D03B78"/>
    <w:pPr>
      <w:pBdr>
        <w:top w:val="single" w:sz="4" w:space="0" w:color="auto"/>
        <w:left w:val="single" w:sz="8" w:space="0" w:color="auto"/>
        <w:bottom w:val="single" w:sz="4" w:space="0" w:color="auto"/>
      </w:pBdr>
      <w:tabs>
        <w:tab w:val="clear" w:pos="850"/>
        <w:tab w:val="clear" w:pos="1191"/>
        <w:tab w:val="clear" w:pos="1531"/>
      </w:tabs>
      <w:spacing w:before="100" w:beforeAutospacing="1" w:after="100" w:afterAutospacing="1"/>
      <w:jc w:val="center"/>
      <w:textAlignment w:val="center"/>
    </w:pPr>
    <w:rPr>
      <w:b/>
      <w:bCs/>
      <w:color w:val="000000"/>
      <w:sz w:val="18"/>
      <w:szCs w:val="18"/>
      <w:lang w:eastAsia="en-GB"/>
    </w:rPr>
  </w:style>
  <w:style w:type="paragraph" w:customStyle="1" w:styleId="xl106">
    <w:name w:val="xl106"/>
    <w:basedOn w:val="Normal"/>
    <w:rsid w:val="00D03B78"/>
    <w:pPr>
      <w:pBdr>
        <w:top w:val="single" w:sz="4" w:space="0" w:color="auto"/>
        <w:bottom w:val="single" w:sz="4" w:space="0" w:color="auto"/>
        <w:right w:val="single" w:sz="8" w:space="0" w:color="auto"/>
      </w:pBdr>
      <w:tabs>
        <w:tab w:val="clear" w:pos="850"/>
        <w:tab w:val="clear" w:pos="1191"/>
        <w:tab w:val="clear" w:pos="1531"/>
      </w:tabs>
      <w:spacing w:before="100" w:beforeAutospacing="1" w:after="100" w:afterAutospacing="1"/>
      <w:jc w:val="center"/>
      <w:textAlignment w:val="center"/>
    </w:pPr>
    <w:rPr>
      <w:b/>
      <w:bCs/>
      <w:color w:val="000000"/>
      <w:sz w:val="18"/>
      <w:szCs w:val="18"/>
      <w:lang w:eastAsia="en-GB"/>
    </w:rPr>
  </w:style>
  <w:style w:type="paragraph" w:customStyle="1" w:styleId="xl107">
    <w:name w:val="xl107"/>
    <w:basedOn w:val="Normal"/>
    <w:rsid w:val="00D03B78"/>
    <w:pPr>
      <w:pBdr>
        <w:top w:val="single" w:sz="4" w:space="0" w:color="auto"/>
        <w:bottom w:val="single" w:sz="4" w:space="0" w:color="auto"/>
      </w:pBdr>
      <w:tabs>
        <w:tab w:val="clear" w:pos="850"/>
        <w:tab w:val="clear" w:pos="1191"/>
        <w:tab w:val="clear" w:pos="1531"/>
      </w:tabs>
      <w:spacing w:before="100" w:beforeAutospacing="1" w:after="100" w:afterAutospacing="1"/>
      <w:jc w:val="center"/>
      <w:textAlignment w:val="center"/>
    </w:pPr>
    <w:rPr>
      <w:b/>
      <w:bCs/>
      <w:color w:val="000000"/>
      <w:sz w:val="18"/>
      <w:szCs w:val="18"/>
      <w:lang w:eastAsia="en-GB"/>
    </w:rPr>
  </w:style>
  <w:style w:type="paragraph" w:customStyle="1" w:styleId="xl108">
    <w:name w:val="xl108"/>
    <w:basedOn w:val="Normal"/>
    <w:rsid w:val="00D03B78"/>
    <w:pPr>
      <w:pBdr>
        <w:left w:val="single" w:sz="8" w:space="0" w:color="auto"/>
        <w:right w:val="single" w:sz="4"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xl109">
    <w:name w:val="xl109"/>
    <w:basedOn w:val="Normal"/>
    <w:rsid w:val="00D03B78"/>
    <w:pPr>
      <w:pBdr>
        <w:left w:val="single" w:sz="4" w:space="0" w:color="auto"/>
        <w:right w:val="single" w:sz="8" w:space="0" w:color="auto"/>
      </w:pBdr>
      <w:tabs>
        <w:tab w:val="clear" w:pos="850"/>
        <w:tab w:val="clear" w:pos="1191"/>
        <w:tab w:val="clear" w:pos="1531"/>
      </w:tabs>
      <w:spacing w:before="100" w:beforeAutospacing="1" w:after="100" w:afterAutospacing="1"/>
      <w:jc w:val="center"/>
      <w:textAlignment w:val="center"/>
    </w:pPr>
    <w:rPr>
      <w:b/>
      <w:bCs/>
      <w:color w:val="000000"/>
      <w:sz w:val="24"/>
      <w:szCs w:val="24"/>
      <w:lang w:eastAsia="en-GB"/>
    </w:rPr>
  </w:style>
  <w:style w:type="paragraph" w:customStyle="1" w:styleId="Default">
    <w:name w:val="Default"/>
    <w:rsid w:val="002666FF"/>
    <w:pPr>
      <w:autoSpaceDE w:val="0"/>
      <w:autoSpaceDN w:val="0"/>
      <w:adjustRightInd w:val="0"/>
    </w:pPr>
    <w:rPr>
      <w:rFonts w:ascii="Helvetica World" w:hAnsi="Helvetica World" w:cs="Helvetica World"/>
      <w:color w:val="000000"/>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nnexHeading">
    <w:name w:val="BulletedNote"/>
    <w:pPr>
      <w:numPr>
        <w:numId w:val="2"/>
      </w:numPr>
    </w:pPr>
  </w:style>
  <w:style w:type="numbering" w:customStyle="1" w:styleId="BodyText">
    <w:name w:val="NumericNote"/>
    <w:pPr>
      <w:numPr>
        <w:numId w:val="3"/>
      </w:numPr>
    </w:pPr>
  </w:style>
  <w:style w:type="numbering" w:customStyle="1" w:styleId="Annotation">
    <w:name w:val="NumberedNote"/>
    <w:pPr>
      <w:numPr>
        <w:numId w:val="1"/>
      </w:numPr>
    </w:pPr>
  </w:style>
  <w:style w:type="numbering" w:customStyle="1" w:styleId="AppendixHeading">
    <w:name w:val="AlphaNot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2.oecd.org/oecdinfo/info.aspx?app=OLIScoteEN&amp;Ref=TAD/FI(2010)8" TargetMode="External"/><Relationship Id="rId26" Type="http://schemas.openxmlformats.org/officeDocument/2006/relationships/chart" Target="charts/chart1.xml"/><Relationship Id="rId39" Type="http://schemas.openxmlformats.org/officeDocument/2006/relationships/image" Target="media/image11.wmf"/><Relationship Id="rId21" Type="http://schemas.openxmlformats.org/officeDocument/2006/relationships/image" Target="media/image3.emf"/><Relationship Id="rId34" Type="http://schemas.openxmlformats.org/officeDocument/2006/relationships/oleObject" Target="embeddings/oleObject4.bin"/><Relationship Id="rId42" Type="http://schemas.openxmlformats.org/officeDocument/2006/relationships/oleObject" Target="embeddings/oleObject7.bin"/><Relationship Id="rId47" Type="http://schemas.openxmlformats.org/officeDocument/2006/relationships/image" Target="media/image14.wmf"/><Relationship Id="rId50" Type="http://schemas.openxmlformats.org/officeDocument/2006/relationships/image" Target="media/image15.wmf"/><Relationship Id="rId55" Type="http://schemas.openxmlformats.org/officeDocument/2006/relationships/chart" Target="charts/chart10.xml"/><Relationship Id="rId63" Type="http://schemas.openxmlformats.org/officeDocument/2006/relationships/header" Target="head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2.oecd.org/oecdinfo/info.aspx?app=OLIScoteEN&amp;Ref=TAD/FI(2010)8" TargetMode="External"/><Relationship Id="rId20" Type="http://schemas.openxmlformats.org/officeDocument/2006/relationships/image" Target="media/image2.emf"/><Relationship Id="rId29" Type="http://schemas.openxmlformats.org/officeDocument/2006/relationships/chart" Target="charts/chart2.xml"/><Relationship Id="rId41" Type="http://schemas.openxmlformats.org/officeDocument/2006/relationships/image" Target="media/image12.wmf"/><Relationship Id="rId54" Type="http://schemas.openxmlformats.org/officeDocument/2006/relationships/oleObject" Target="embeddings/oleObject11.bin"/><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6.wmf"/><Relationship Id="rId32" Type="http://schemas.openxmlformats.org/officeDocument/2006/relationships/chart" Target="charts/chart3.xml"/><Relationship Id="rId37" Type="http://schemas.openxmlformats.org/officeDocument/2006/relationships/oleObject" Target="embeddings/oleObject5.bin"/><Relationship Id="rId40" Type="http://schemas.openxmlformats.org/officeDocument/2006/relationships/oleObject" Target="embeddings/oleObject6.bin"/><Relationship Id="rId45" Type="http://schemas.openxmlformats.org/officeDocument/2006/relationships/oleObject" Target="embeddings/oleObject8.bin"/><Relationship Id="rId53" Type="http://schemas.openxmlformats.org/officeDocument/2006/relationships/image" Target="media/image16.wmf"/><Relationship Id="rId58" Type="http://schemas.openxmlformats.org/officeDocument/2006/relationships/chart" Target="charts/chart11.xml"/><Relationship Id="rId66"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oleObject" Target="embeddings/Microsoft_Word_97_-_2003_Document1.doc"/><Relationship Id="rId23" Type="http://schemas.openxmlformats.org/officeDocument/2006/relationships/image" Target="media/image5.emf"/><Relationship Id="rId28" Type="http://schemas.openxmlformats.org/officeDocument/2006/relationships/oleObject" Target="embeddings/oleObject2.bin"/><Relationship Id="rId36" Type="http://schemas.openxmlformats.org/officeDocument/2006/relationships/image" Target="media/image10.wmf"/><Relationship Id="rId49" Type="http://schemas.openxmlformats.org/officeDocument/2006/relationships/chart" Target="charts/chart8.xml"/><Relationship Id="rId57" Type="http://schemas.openxmlformats.org/officeDocument/2006/relationships/oleObject" Target="embeddings/oleObject12.bin"/><Relationship Id="rId61"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www2.oecd.org/oecdinfo/info.aspx?app=OLIScoteEN&amp;Ref=TAD/FI(2012)2" TargetMode="External"/><Relationship Id="rId31" Type="http://schemas.openxmlformats.org/officeDocument/2006/relationships/oleObject" Target="embeddings/oleObject3.bin"/><Relationship Id="rId44" Type="http://schemas.openxmlformats.org/officeDocument/2006/relationships/image" Target="media/image13.wmf"/><Relationship Id="rId52" Type="http://schemas.openxmlformats.org/officeDocument/2006/relationships/chart" Target="charts/chart9.xml"/><Relationship Id="rId60" Type="http://schemas.openxmlformats.org/officeDocument/2006/relationships/header" Target="header4.xml"/><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image" Target="media/image4.e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chart" Target="charts/chart4.xml"/><Relationship Id="rId43" Type="http://schemas.openxmlformats.org/officeDocument/2006/relationships/chart" Target="charts/chart6.xml"/><Relationship Id="rId48" Type="http://schemas.openxmlformats.org/officeDocument/2006/relationships/oleObject" Target="embeddings/oleObject9.bin"/><Relationship Id="rId56" Type="http://schemas.openxmlformats.org/officeDocument/2006/relationships/image" Target="media/image17.wmf"/><Relationship Id="rId64" Type="http://schemas.openxmlformats.org/officeDocument/2006/relationships/footer" Target="footer5.xml"/><Relationship Id="rId8" Type="http://schemas.openxmlformats.org/officeDocument/2006/relationships/footnotes" Target="footnotes.xml"/><Relationship Id="rId51" Type="http://schemas.openxmlformats.org/officeDocument/2006/relationships/oleObject" Target="embeddings/oleObject10.bin"/><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2.oecd.org/oecdinfo/info.aspx?app=OLIScoteEN&amp;Ref=TAD/FI(2012)2" TargetMode="External"/><Relationship Id="rId25" Type="http://schemas.openxmlformats.org/officeDocument/2006/relationships/oleObject" Target="embeddings/oleObject1.bin"/><Relationship Id="rId33" Type="http://schemas.openxmlformats.org/officeDocument/2006/relationships/image" Target="media/image9.wmf"/><Relationship Id="rId38" Type="http://schemas.openxmlformats.org/officeDocument/2006/relationships/chart" Target="charts/chart5.xml"/><Relationship Id="rId46" Type="http://schemas.openxmlformats.org/officeDocument/2006/relationships/chart" Target="charts/chart7.xm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ain.oecd.org\winapps\Office2010\Workgroup%20Templates\AE2007.dot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martini_r\AppData\Local\Microsoft\Windows\Temporary%20Internet%20Files\Content.Outlook\2MEILN6O\FSE%20Indicators_MPSandFTCsRemoved_OECDcorrected_BELcorrect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TIF as a share of GFR, %, 2012 </a:t>
            </a:r>
            <a:endParaRPr lang="en-GB" sz="1400"/>
          </a:p>
        </c:rich>
      </c:tx>
      <c:layout>
        <c:manualLayout>
          <c:xMode val="edge"/>
          <c:yMode val="edge"/>
          <c:x val="0.59066250000000009"/>
          <c:y val="0.86256349737832561"/>
        </c:manualLayout>
      </c:layout>
      <c:overlay val="1"/>
    </c:title>
    <c:autoTitleDeleted val="0"/>
    <c:plotArea>
      <c:layout/>
      <c:barChart>
        <c:barDir val="bar"/>
        <c:grouping val="clustered"/>
        <c:varyColors val="0"/>
        <c:ser>
          <c:idx val="0"/>
          <c:order val="0"/>
          <c:spPr>
            <a:solidFill>
              <a:schemeClr val="accent1"/>
            </a:solidFill>
            <a:ln>
              <a:solidFill>
                <a:schemeClr val="accent1">
                  <a:lumMod val="50000"/>
                </a:schemeClr>
              </a:solidFill>
            </a:ln>
          </c:spPr>
          <c:invertIfNegative val="0"/>
          <c:dPt>
            <c:idx val="3"/>
            <c:invertIfNegative val="0"/>
            <c:bubble3D val="0"/>
          </c:dPt>
          <c:dPt>
            <c:idx val="6"/>
            <c:invertIfNegative val="0"/>
            <c:bubble3D val="0"/>
            <c:spPr>
              <a:solidFill>
                <a:srgbClr val="FF0000"/>
              </a:solidFill>
              <a:ln>
                <a:solidFill>
                  <a:schemeClr val="accent1">
                    <a:lumMod val="50000"/>
                  </a:schemeClr>
                </a:solidFill>
              </a:ln>
            </c:spPr>
          </c:dPt>
          <c:dPt>
            <c:idx val="7"/>
            <c:invertIfNegative val="0"/>
            <c:bubble3D val="0"/>
          </c:dPt>
          <c:dPt>
            <c:idx val="9"/>
            <c:invertIfNegative val="0"/>
            <c:bubble3D val="0"/>
          </c:dPt>
          <c:cat>
            <c:strRef>
              <c:f>X_TIF_GFR!$U$23:$U$37</c:f>
              <c:strCache>
                <c:ptCount val="15"/>
                <c:pt idx="0">
                  <c:v>NOR</c:v>
                </c:pt>
                <c:pt idx="1">
                  <c:v>GBR</c:v>
                </c:pt>
                <c:pt idx="2">
                  <c:v>DNK</c:v>
                </c:pt>
                <c:pt idx="3">
                  <c:v>JPN</c:v>
                </c:pt>
                <c:pt idx="4">
                  <c:v>PRT</c:v>
                </c:pt>
                <c:pt idx="5">
                  <c:v>SWE</c:v>
                </c:pt>
                <c:pt idx="6">
                  <c:v>OECD</c:v>
                </c:pt>
                <c:pt idx="7">
                  <c:v>USA</c:v>
                </c:pt>
                <c:pt idx="8">
                  <c:v>NLD</c:v>
                </c:pt>
                <c:pt idx="9">
                  <c:v>FRA</c:v>
                </c:pt>
                <c:pt idx="10">
                  <c:v>BEL</c:v>
                </c:pt>
                <c:pt idx="11">
                  <c:v>ESP</c:v>
                </c:pt>
                <c:pt idx="12">
                  <c:v>EST</c:v>
                </c:pt>
                <c:pt idx="13">
                  <c:v>GRC</c:v>
                </c:pt>
                <c:pt idx="14">
                  <c:v>CAN</c:v>
                </c:pt>
              </c:strCache>
            </c:strRef>
          </c:cat>
          <c:val>
            <c:numRef>
              <c:f>X_TIF_GFR!$V$23:$V$36</c:f>
              <c:numCache>
                <c:formatCode>General</c:formatCode>
                <c:ptCount val="14"/>
                <c:pt idx="0">
                  <c:v>1.8973509681983546E-2</c:v>
                </c:pt>
                <c:pt idx="1">
                  <c:v>0.12869519884692707</c:v>
                </c:pt>
                <c:pt idx="2">
                  <c:v>0.23483663428423657</c:v>
                </c:pt>
                <c:pt idx="3">
                  <c:v>0.26976236339606974</c:v>
                </c:pt>
                <c:pt idx="4">
                  <c:v>0.38166558458835997</c:v>
                </c:pt>
                <c:pt idx="5">
                  <c:v>1.4165119580699128</c:v>
                </c:pt>
                <c:pt idx="6">
                  <c:v>1.9576865164385511</c:v>
                </c:pt>
                <c:pt idx="7">
                  <c:v>2.1133393185621059</c:v>
                </c:pt>
                <c:pt idx="8">
                  <c:v>2.4938125962866851</c:v>
                </c:pt>
                <c:pt idx="9">
                  <c:v>2.55691622071785</c:v>
                </c:pt>
                <c:pt idx="10">
                  <c:v>2.8564414283690107</c:v>
                </c:pt>
                <c:pt idx="11">
                  <c:v>4.0697086890897802</c:v>
                </c:pt>
                <c:pt idx="12">
                  <c:v>7.5783426469910014</c:v>
                </c:pt>
                <c:pt idx="13">
                  <c:v>11.106057795092537</c:v>
                </c:pt>
              </c:numCache>
            </c:numRef>
          </c:val>
        </c:ser>
        <c:dLbls>
          <c:showLegendKey val="0"/>
          <c:showVal val="0"/>
          <c:showCatName val="0"/>
          <c:showSerName val="0"/>
          <c:showPercent val="0"/>
          <c:showBubbleSize val="0"/>
        </c:dLbls>
        <c:gapWidth val="25"/>
        <c:axId val="424073856"/>
        <c:axId val="431751552"/>
      </c:barChart>
      <c:catAx>
        <c:axId val="424073856"/>
        <c:scaling>
          <c:orientation val="minMax"/>
        </c:scaling>
        <c:delete val="0"/>
        <c:axPos val="l"/>
        <c:majorTickMark val="out"/>
        <c:minorTickMark val="none"/>
        <c:tickLblPos val="nextTo"/>
        <c:spPr>
          <a:ln>
            <a:noFill/>
          </a:ln>
        </c:spPr>
        <c:crossAx val="431751552"/>
        <c:crosses val="autoZero"/>
        <c:auto val="1"/>
        <c:lblAlgn val="ctr"/>
        <c:lblOffset val="100"/>
        <c:noMultiLvlLbl val="0"/>
      </c:catAx>
      <c:valAx>
        <c:axId val="431751552"/>
        <c:scaling>
          <c:orientation val="minMax"/>
        </c:scaling>
        <c:delete val="0"/>
        <c:axPos val="b"/>
        <c:numFmt formatCode="#,##0" sourceLinked="0"/>
        <c:majorTickMark val="out"/>
        <c:minorTickMark val="none"/>
        <c:tickLblPos val="nextTo"/>
        <c:spPr>
          <a:ln>
            <a:noFill/>
          </a:ln>
        </c:spPr>
        <c:crossAx val="424073856"/>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Total Support by Vessel (Number), USD, 2012 </a:t>
            </a:r>
            <a:endParaRPr lang="en-GB" sz="1400"/>
          </a:p>
        </c:rich>
      </c:tx>
      <c:layout>
        <c:manualLayout>
          <c:xMode val="edge"/>
          <c:yMode val="edge"/>
          <c:x val="0.39495312500000002"/>
          <c:y val="0.86290935855240314"/>
        </c:manualLayout>
      </c:layout>
      <c:overlay val="1"/>
    </c:title>
    <c:autoTitleDeleted val="0"/>
    <c:plotArea>
      <c:layout/>
      <c:barChart>
        <c:barDir val="bar"/>
        <c:grouping val="clustered"/>
        <c:varyColors val="0"/>
        <c:ser>
          <c:idx val="0"/>
          <c:order val="0"/>
          <c:spPr>
            <a:solidFill>
              <a:schemeClr val="accent1"/>
            </a:solidFill>
            <a:ln>
              <a:solidFill>
                <a:schemeClr val="accent1">
                  <a:lumMod val="50000"/>
                </a:schemeClr>
              </a:solidFill>
            </a:ln>
          </c:spPr>
          <c:invertIfNegative val="0"/>
          <c:dPt>
            <c:idx val="1"/>
            <c:invertIfNegative val="0"/>
            <c:bubble3D val="0"/>
          </c:dPt>
          <c:dPt>
            <c:idx val="2"/>
            <c:invertIfNegative val="0"/>
            <c:bubble3D val="0"/>
          </c:dPt>
          <c:dPt>
            <c:idx val="3"/>
            <c:invertIfNegative val="0"/>
            <c:bubble3D val="0"/>
          </c:dPt>
          <c:dPt>
            <c:idx val="5"/>
            <c:invertIfNegative val="0"/>
            <c:bubble3D val="0"/>
            <c:spPr>
              <a:solidFill>
                <a:srgbClr val="FF0000"/>
              </a:solidFill>
              <a:ln>
                <a:solidFill>
                  <a:schemeClr val="accent1">
                    <a:lumMod val="50000"/>
                  </a:schemeClr>
                </a:solidFill>
              </a:ln>
            </c:spPr>
          </c:dPt>
          <c:dPt>
            <c:idx val="7"/>
            <c:invertIfNegative val="0"/>
            <c:bubble3D val="0"/>
          </c:dPt>
          <c:dPt>
            <c:idx val="9"/>
            <c:invertIfNegative val="0"/>
            <c:bubble3D val="0"/>
          </c:dPt>
          <c:dPt>
            <c:idx val="10"/>
            <c:invertIfNegative val="0"/>
            <c:bubble3D val="0"/>
          </c:dPt>
          <c:cat>
            <c:strRef>
              <c:f>SPV!$U$23:$U$40</c:f>
              <c:strCache>
                <c:ptCount val="18"/>
                <c:pt idx="0">
                  <c:v>JPN</c:v>
                </c:pt>
                <c:pt idx="1">
                  <c:v>PRT</c:v>
                </c:pt>
                <c:pt idx="2">
                  <c:v>GBR</c:v>
                </c:pt>
                <c:pt idx="3">
                  <c:v>GRC</c:v>
                </c:pt>
                <c:pt idx="4">
                  <c:v>TUR</c:v>
                </c:pt>
                <c:pt idx="5">
                  <c:v>OECD</c:v>
                </c:pt>
                <c:pt idx="6">
                  <c:v>FRA</c:v>
                </c:pt>
                <c:pt idx="7">
                  <c:v>EST</c:v>
                </c:pt>
                <c:pt idx="8">
                  <c:v>NOR</c:v>
                </c:pt>
                <c:pt idx="9">
                  <c:v>ESP</c:v>
                </c:pt>
                <c:pt idx="10">
                  <c:v>DNK</c:v>
                </c:pt>
                <c:pt idx="11">
                  <c:v>NZL</c:v>
                </c:pt>
                <c:pt idx="12">
                  <c:v>NLD</c:v>
                </c:pt>
                <c:pt idx="13">
                  <c:v>CAN</c:v>
                </c:pt>
                <c:pt idx="14">
                  <c:v>AUS</c:v>
                </c:pt>
                <c:pt idx="15">
                  <c:v>SWE</c:v>
                </c:pt>
                <c:pt idx="16">
                  <c:v>USA</c:v>
                </c:pt>
                <c:pt idx="17">
                  <c:v>BEL</c:v>
                </c:pt>
              </c:strCache>
            </c:strRef>
          </c:cat>
          <c:val>
            <c:numRef>
              <c:f>SPV!$V$23:$V$40</c:f>
              <c:numCache>
                <c:formatCode>@</c:formatCode>
                <c:ptCount val="18"/>
                <c:pt idx="0">
                  <c:v>122.28071693829962</c:v>
                </c:pt>
                <c:pt idx="1">
                  <c:v>167.61705494417592</c:v>
                </c:pt>
                <c:pt idx="2">
                  <c:v>1127.7942192381245</c:v>
                </c:pt>
                <c:pt idx="3">
                  <c:v>2657.1001058870083</c:v>
                </c:pt>
                <c:pt idx="4">
                  <c:v>6516.1552828659842</c:v>
                </c:pt>
                <c:pt idx="5">
                  <c:v>8912.3653365668088</c:v>
                </c:pt>
                <c:pt idx="6">
                  <c:v>9311.5644159403291</c:v>
                </c:pt>
                <c:pt idx="7">
                  <c:v>12195.007780244408</c:v>
                </c:pt>
                <c:pt idx="8">
                  <c:v>12682.023682592178</c:v>
                </c:pt>
                <c:pt idx="9">
                  <c:v>13158.727662875643</c:v>
                </c:pt>
                <c:pt idx="10">
                  <c:v>20372.791941387226</c:v>
                </c:pt>
                <c:pt idx="11">
                  <c:v>30948.52899221595</c:v>
                </c:pt>
                <c:pt idx="12">
                  <c:v>33560.875643157189</c:v>
                </c:pt>
                <c:pt idx="13">
                  <c:v>42801.028162676099</c:v>
                </c:pt>
                <c:pt idx="14">
                  <c:v>44804.803079427671</c:v>
                </c:pt>
                <c:pt idx="15">
                  <c:v>53020.232772270683</c:v>
                </c:pt>
                <c:pt idx="16">
                  <c:v>70665.358444444442</c:v>
                </c:pt>
                <c:pt idx="17">
                  <c:v>140909.69146306024</c:v>
                </c:pt>
              </c:numCache>
            </c:numRef>
          </c:val>
        </c:ser>
        <c:dLbls>
          <c:showLegendKey val="0"/>
          <c:showVal val="0"/>
          <c:showCatName val="0"/>
          <c:showSerName val="0"/>
          <c:showPercent val="0"/>
          <c:showBubbleSize val="0"/>
        </c:dLbls>
        <c:gapWidth val="25"/>
        <c:axId val="391645440"/>
        <c:axId val="391647232"/>
      </c:barChart>
      <c:catAx>
        <c:axId val="391645440"/>
        <c:scaling>
          <c:orientation val="minMax"/>
        </c:scaling>
        <c:delete val="0"/>
        <c:axPos val="l"/>
        <c:majorTickMark val="out"/>
        <c:minorTickMark val="none"/>
        <c:tickLblPos val="nextTo"/>
        <c:spPr>
          <a:ln>
            <a:noFill/>
          </a:ln>
        </c:spPr>
        <c:crossAx val="391647232"/>
        <c:crosses val="autoZero"/>
        <c:auto val="1"/>
        <c:lblAlgn val="ctr"/>
        <c:lblOffset val="100"/>
        <c:noMultiLvlLbl val="0"/>
      </c:catAx>
      <c:valAx>
        <c:axId val="391647232"/>
        <c:scaling>
          <c:orientation val="minMax"/>
          <c:max val="120000"/>
        </c:scaling>
        <c:delete val="0"/>
        <c:axPos val="b"/>
        <c:numFmt formatCode="#,##0" sourceLinked="0"/>
        <c:majorTickMark val="out"/>
        <c:minorTickMark val="none"/>
        <c:tickLblPos val="nextTo"/>
        <c:spPr>
          <a:ln>
            <a:noFill/>
          </a:ln>
        </c:spPr>
        <c:crossAx val="391645440"/>
        <c:crosses val="autoZero"/>
        <c:crossBetween val="between"/>
      </c:valAx>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Total Support by Vessel (GT), USD, 2012 </a:t>
            </a:r>
            <a:endParaRPr lang="en-GB" sz="1400"/>
          </a:p>
        </c:rich>
      </c:tx>
      <c:layout>
        <c:manualLayout>
          <c:xMode val="edge"/>
          <c:yMode val="edge"/>
          <c:x val="0.46305017361111112"/>
          <c:y val="0.86290935855240314"/>
        </c:manualLayout>
      </c:layout>
      <c:overlay val="1"/>
    </c:title>
    <c:autoTitleDeleted val="0"/>
    <c:plotArea>
      <c:layout/>
      <c:barChart>
        <c:barDir val="bar"/>
        <c:grouping val="clustered"/>
        <c:varyColors val="0"/>
        <c:ser>
          <c:idx val="0"/>
          <c:order val="0"/>
          <c:spPr>
            <a:ln>
              <a:solidFill>
                <a:schemeClr val="accent1">
                  <a:lumMod val="50000"/>
                </a:schemeClr>
              </a:solidFill>
            </a:ln>
          </c:spPr>
          <c:invertIfNegative val="0"/>
          <c:dPt>
            <c:idx val="5"/>
            <c:invertIfNegative val="0"/>
            <c:bubble3D val="0"/>
            <c:spPr>
              <a:solidFill>
                <a:srgbClr val="FF0000"/>
              </a:solidFill>
              <a:ln>
                <a:solidFill>
                  <a:schemeClr val="accent1">
                    <a:lumMod val="50000"/>
                  </a:schemeClr>
                </a:solidFill>
              </a:ln>
            </c:spPr>
          </c:dPt>
          <c:cat>
            <c:strRef>
              <c:f>SGT!$U$20:$U$34</c:f>
              <c:strCache>
                <c:ptCount val="15"/>
                <c:pt idx="0">
                  <c:v>PRT</c:v>
                </c:pt>
                <c:pt idx="1">
                  <c:v>GBR</c:v>
                </c:pt>
                <c:pt idx="2">
                  <c:v>NLD</c:v>
                </c:pt>
                <c:pt idx="3">
                  <c:v>NOR</c:v>
                </c:pt>
                <c:pt idx="4">
                  <c:v>ESP</c:v>
                </c:pt>
                <c:pt idx="5">
                  <c:v>OECD</c:v>
                </c:pt>
                <c:pt idx="6">
                  <c:v>NZL</c:v>
                </c:pt>
                <c:pt idx="7">
                  <c:v>FRA</c:v>
                </c:pt>
                <c:pt idx="8">
                  <c:v>AUS</c:v>
                </c:pt>
                <c:pt idx="9">
                  <c:v>GRC</c:v>
                </c:pt>
                <c:pt idx="10">
                  <c:v>TUR</c:v>
                </c:pt>
                <c:pt idx="11">
                  <c:v>BEL</c:v>
                </c:pt>
                <c:pt idx="12">
                  <c:v>DNK</c:v>
                </c:pt>
                <c:pt idx="13">
                  <c:v>EST</c:v>
                </c:pt>
                <c:pt idx="14">
                  <c:v>SWE</c:v>
                </c:pt>
              </c:strCache>
            </c:strRef>
          </c:cat>
          <c:val>
            <c:numRef>
              <c:f>SGT!$V$20:$V$34</c:f>
              <c:numCache>
                <c:formatCode>General</c:formatCode>
                <c:ptCount val="15"/>
                <c:pt idx="0">
                  <c:v>13.89477489801274</c:v>
                </c:pt>
                <c:pt idx="1">
                  <c:v>36.757963544893379</c:v>
                </c:pt>
                <c:pt idx="2">
                  <c:v>194.44207547917298</c:v>
                </c:pt>
                <c:pt idx="3">
                  <c:v>215.51886169891191</c:v>
                </c:pt>
                <c:pt idx="4">
                  <c:v>345.93404030106939</c:v>
                </c:pt>
                <c:pt idx="5">
                  <c:v>355.42259957851837</c:v>
                </c:pt>
                <c:pt idx="6">
                  <c:v>380.78011949370057</c:v>
                </c:pt>
                <c:pt idx="7">
                  <c:v>394.87732794651924</c:v>
                </c:pt>
                <c:pt idx="8">
                  <c:v>402.94368090300793</c:v>
                </c:pt>
                <c:pt idx="9">
                  <c:v>534.45922558654672</c:v>
                </c:pt>
                <c:pt idx="10">
                  <c:v>615.55185928673154</c:v>
                </c:pt>
                <c:pt idx="11">
                  <c:v>776.95505158001731</c:v>
                </c:pt>
                <c:pt idx="12">
                  <c:v>846.63901110826134</c:v>
                </c:pt>
                <c:pt idx="13">
                  <c:v>869.85726950146625</c:v>
                </c:pt>
                <c:pt idx="14">
                  <c:v>2369.7538438645843</c:v>
                </c:pt>
              </c:numCache>
            </c:numRef>
          </c:val>
        </c:ser>
        <c:dLbls>
          <c:showLegendKey val="0"/>
          <c:showVal val="0"/>
          <c:showCatName val="0"/>
          <c:showSerName val="0"/>
          <c:showPercent val="0"/>
          <c:showBubbleSize val="0"/>
        </c:dLbls>
        <c:gapWidth val="25"/>
        <c:axId val="391664000"/>
        <c:axId val="391665536"/>
      </c:barChart>
      <c:catAx>
        <c:axId val="391664000"/>
        <c:scaling>
          <c:orientation val="minMax"/>
        </c:scaling>
        <c:delete val="0"/>
        <c:axPos val="l"/>
        <c:majorTickMark val="out"/>
        <c:minorTickMark val="none"/>
        <c:tickLblPos val="nextTo"/>
        <c:spPr>
          <a:ln>
            <a:noFill/>
          </a:ln>
        </c:spPr>
        <c:crossAx val="391665536"/>
        <c:crosses val="autoZero"/>
        <c:auto val="1"/>
        <c:lblAlgn val="ctr"/>
        <c:lblOffset val="100"/>
        <c:noMultiLvlLbl val="0"/>
      </c:catAx>
      <c:valAx>
        <c:axId val="391665536"/>
        <c:scaling>
          <c:orientation val="minMax"/>
        </c:scaling>
        <c:delete val="0"/>
        <c:axPos val="b"/>
        <c:numFmt formatCode="#,##0" sourceLinked="0"/>
        <c:majorTickMark val="out"/>
        <c:minorTickMark val="none"/>
        <c:tickLblPos val="nextTo"/>
        <c:spPr>
          <a:ln>
            <a:noFill/>
          </a:ln>
        </c:spPr>
        <c:crossAx val="391664000"/>
        <c:crosses val="autoZero"/>
        <c:crossBetween val="between"/>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TIF as a share of FSE, %, 2012 </a:t>
            </a:r>
            <a:endParaRPr lang="en-GB" sz="1400"/>
          </a:p>
        </c:rich>
      </c:tx>
      <c:layout>
        <c:manualLayout>
          <c:xMode val="edge"/>
          <c:yMode val="edge"/>
          <c:x val="0.59948194444444447"/>
          <c:y val="0.86291833333333334"/>
        </c:manualLayout>
      </c:layout>
      <c:overlay val="1"/>
    </c:title>
    <c:autoTitleDeleted val="0"/>
    <c:plotArea>
      <c:layout/>
      <c:barChart>
        <c:barDir val="bar"/>
        <c:grouping val="clustered"/>
        <c:varyColors val="0"/>
        <c:ser>
          <c:idx val="0"/>
          <c:order val="0"/>
          <c:spPr>
            <a:ln>
              <a:solidFill>
                <a:schemeClr val="accent1">
                  <a:lumMod val="50000"/>
                </a:schemeClr>
              </a:solidFill>
            </a:ln>
          </c:spPr>
          <c:invertIfNegative val="0"/>
          <c:dPt>
            <c:idx val="3"/>
            <c:invertIfNegative val="0"/>
            <c:bubble3D val="0"/>
            <c:spPr>
              <a:solidFill>
                <a:schemeClr val="accent1"/>
              </a:solidFill>
              <a:ln>
                <a:solidFill>
                  <a:schemeClr val="accent1">
                    <a:lumMod val="50000"/>
                  </a:schemeClr>
                </a:solidFill>
              </a:ln>
            </c:spPr>
          </c:dPt>
          <c:dPt>
            <c:idx val="5"/>
            <c:invertIfNegative val="0"/>
            <c:bubble3D val="0"/>
            <c:spPr>
              <a:solidFill>
                <a:srgbClr val="FF0000"/>
              </a:solidFill>
              <a:ln>
                <a:solidFill>
                  <a:schemeClr val="accent1">
                    <a:lumMod val="50000"/>
                  </a:schemeClr>
                </a:solidFill>
              </a:ln>
            </c:spPr>
          </c:dPt>
          <c:dPt>
            <c:idx val="7"/>
            <c:invertIfNegative val="0"/>
            <c:bubble3D val="0"/>
            <c:spPr>
              <a:solidFill>
                <a:schemeClr val="accent1"/>
              </a:solidFill>
              <a:ln>
                <a:solidFill>
                  <a:schemeClr val="accent1">
                    <a:lumMod val="50000"/>
                  </a:schemeClr>
                </a:solidFill>
              </a:ln>
            </c:spPr>
          </c:dPt>
          <c:dPt>
            <c:idx val="9"/>
            <c:invertIfNegative val="0"/>
            <c:bubble3D val="0"/>
            <c:spPr>
              <a:solidFill>
                <a:schemeClr val="accent1"/>
              </a:solidFill>
              <a:ln>
                <a:solidFill>
                  <a:schemeClr val="accent1">
                    <a:lumMod val="50000"/>
                  </a:schemeClr>
                </a:solidFill>
              </a:ln>
            </c:spPr>
          </c:dPt>
          <c:cat>
            <c:strRef>
              <c:f>X_TIF_FSE!$U$24:$U$39</c:f>
              <c:strCache>
                <c:ptCount val="16"/>
                <c:pt idx="0">
                  <c:v>NOR</c:v>
                </c:pt>
                <c:pt idx="1">
                  <c:v>DNK</c:v>
                </c:pt>
                <c:pt idx="2">
                  <c:v>SWE</c:v>
                </c:pt>
                <c:pt idx="3">
                  <c:v>USA</c:v>
                </c:pt>
                <c:pt idx="4">
                  <c:v>EST</c:v>
                </c:pt>
                <c:pt idx="5">
                  <c:v>OECD</c:v>
                </c:pt>
                <c:pt idx="6">
                  <c:v>GBR</c:v>
                </c:pt>
                <c:pt idx="7">
                  <c:v>BEL</c:v>
                </c:pt>
                <c:pt idx="8">
                  <c:v>CAN</c:v>
                </c:pt>
                <c:pt idx="9">
                  <c:v>NLD</c:v>
                </c:pt>
                <c:pt idx="10">
                  <c:v>SVN</c:v>
                </c:pt>
                <c:pt idx="11">
                  <c:v>FRA</c:v>
                </c:pt>
                <c:pt idx="12">
                  <c:v>ESP</c:v>
                </c:pt>
                <c:pt idx="13">
                  <c:v>GRC</c:v>
                </c:pt>
                <c:pt idx="14">
                  <c:v>JPN</c:v>
                </c:pt>
                <c:pt idx="15">
                  <c:v>PRT</c:v>
                </c:pt>
              </c:strCache>
            </c:strRef>
          </c:cat>
          <c:val>
            <c:numRef>
              <c:f>X_TIF_FSE!$V$24:$V$39</c:f>
              <c:numCache>
                <c:formatCode>General</c:formatCode>
                <c:ptCount val="16"/>
                <c:pt idx="0">
                  <c:v>0.58948103836018717</c:v>
                </c:pt>
                <c:pt idx="1">
                  <c:v>2.0785295512966324</c:v>
                </c:pt>
                <c:pt idx="2">
                  <c:v>2.2899001961179115</c:v>
                </c:pt>
                <c:pt idx="3">
                  <c:v>6.1872214596626822</c:v>
                </c:pt>
                <c:pt idx="4">
                  <c:v>12.246730402428321</c:v>
                </c:pt>
                <c:pt idx="5">
                  <c:v>18.059764850562566</c:v>
                </c:pt>
                <c:pt idx="6">
                  <c:v>21.442262050812328</c:v>
                </c:pt>
                <c:pt idx="7">
                  <c:v>24.616347939574425</c:v>
                </c:pt>
                <c:pt idx="8">
                  <c:v>32.999423887894402</c:v>
                </c:pt>
                <c:pt idx="9">
                  <c:v>44.44368112777866</c:v>
                </c:pt>
                <c:pt idx="10">
                  <c:v>45.875492623755754</c:v>
                </c:pt>
                <c:pt idx="11">
                  <c:v>53.72116179840549</c:v>
                </c:pt>
                <c:pt idx="12">
                  <c:v>73.160114878931211</c:v>
                </c:pt>
                <c:pt idx="13">
                  <c:v>85.690759992330626</c:v>
                </c:pt>
                <c:pt idx="14">
                  <c:v>100</c:v>
                </c:pt>
                <c:pt idx="15">
                  <c:v>100</c:v>
                </c:pt>
              </c:numCache>
            </c:numRef>
          </c:val>
        </c:ser>
        <c:dLbls>
          <c:showLegendKey val="0"/>
          <c:showVal val="0"/>
          <c:showCatName val="0"/>
          <c:showSerName val="0"/>
          <c:showPercent val="0"/>
          <c:showBubbleSize val="0"/>
        </c:dLbls>
        <c:gapWidth val="25"/>
        <c:axId val="453777664"/>
        <c:axId val="453795840"/>
      </c:barChart>
      <c:catAx>
        <c:axId val="453777664"/>
        <c:scaling>
          <c:orientation val="minMax"/>
        </c:scaling>
        <c:delete val="0"/>
        <c:axPos val="l"/>
        <c:majorTickMark val="out"/>
        <c:minorTickMark val="none"/>
        <c:tickLblPos val="nextTo"/>
        <c:spPr>
          <a:ln>
            <a:noFill/>
          </a:ln>
        </c:spPr>
        <c:crossAx val="453795840"/>
        <c:crosses val="autoZero"/>
        <c:auto val="1"/>
        <c:lblAlgn val="ctr"/>
        <c:lblOffset val="100"/>
        <c:noMultiLvlLbl val="0"/>
      </c:catAx>
      <c:valAx>
        <c:axId val="453795840"/>
        <c:scaling>
          <c:orientation val="minMax"/>
          <c:max val="100"/>
        </c:scaling>
        <c:delete val="0"/>
        <c:axPos val="b"/>
        <c:numFmt formatCode="#,##0" sourceLinked="0"/>
        <c:majorTickMark val="out"/>
        <c:minorTickMark val="none"/>
        <c:tickLblPos val="nextTo"/>
        <c:spPr>
          <a:ln>
            <a:noFill/>
          </a:ln>
        </c:spPr>
        <c:crossAx val="453777664"/>
        <c:crosses val="autoZero"/>
        <c:crossBetween val="between"/>
      </c:valAx>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GSSE as a share of FSE, %, 2012 </a:t>
            </a:r>
            <a:endParaRPr lang="en-GB" sz="1400"/>
          </a:p>
        </c:rich>
      </c:tx>
      <c:layout>
        <c:manualLayout>
          <c:xMode val="edge"/>
          <c:yMode val="edge"/>
          <c:x val="0.57743333333333347"/>
          <c:y val="0.86291833333333334"/>
        </c:manualLayout>
      </c:layout>
      <c:overlay val="1"/>
    </c:title>
    <c:autoTitleDeleted val="0"/>
    <c:plotArea>
      <c:layout/>
      <c:barChart>
        <c:barDir val="bar"/>
        <c:grouping val="clustered"/>
        <c:varyColors val="0"/>
        <c:ser>
          <c:idx val="0"/>
          <c:order val="0"/>
          <c:spPr>
            <a:ln>
              <a:solidFill>
                <a:schemeClr val="accent1">
                  <a:lumMod val="50000"/>
                </a:schemeClr>
              </a:solidFill>
            </a:ln>
          </c:spPr>
          <c:invertIfNegative val="0"/>
          <c:dPt>
            <c:idx val="3"/>
            <c:invertIfNegative val="0"/>
            <c:bubble3D val="0"/>
            <c:spPr>
              <a:solidFill>
                <a:schemeClr val="accent1"/>
              </a:solidFill>
              <a:ln>
                <a:solidFill>
                  <a:schemeClr val="accent1">
                    <a:lumMod val="50000"/>
                  </a:schemeClr>
                </a:solidFill>
              </a:ln>
            </c:spPr>
          </c:dPt>
          <c:dPt>
            <c:idx val="5"/>
            <c:invertIfNegative val="0"/>
            <c:bubble3D val="0"/>
            <c:spPr>
              <a:solidFill>
                <a:schemeClr val="accent1"/>
              </a:solidFill>
              <a:ln>
                <a:solidFill>
                  <a:schemeClr val="accent1">
                    <a:lumMod val="50000"/>
                  </a:schemeClr>
                </a:solidFill>
              </a:ln>
            </c:spPr>
          </c:dPt>
          <c:dPt>
            <c:idx val="7"/>
            <c:invertIfNegative val="0"/>
            <c:bubble3D val="0"/>
            <c:spPr>
              <a:solidFill>
                <a:schemeClr val="accent1"/>
              </a:solidFill>
              <a:ln>
                <a:solidFill>
                  <a:schemeClr val="accent1">
                    <a:lumMod val="50000"/>
                  </a:schemeClr>
                </a:solidFill>
              </a:ln>
            </c:spPr>
          </c:dPt>
          <c:dPt>
            <c:idx val="8"/>
            <c:invertIfNegative val="0"/>
            <c:bubble3D val="0"/>
            <c:spPr>
              <a:solidFill>
                <a:srgbClr val="FF0000"/>
              </a:solidFill>
              <a:ln>
                <a:solidFill>
                  <a:schemeClr val="accent1">
                    <a:lumMod val="50000"/>
                  </a:schemeClr>
                </a:solidFill>
              </a:ln>
            </c:spPr>
          </c:dPt>
          <c:dPt>
            <c:idx val="9"/>
            <c:invertIfNegative val="0"/>
            <c:bubble3D val="0"/>
            <c:spPr>
              <a:solidFill>
                <a:schemeClr val="accent1"/>
              </a:solidFill>
              <a:ln>
                <a:solidFill>
                  <a:schemeClr val="accent1">
                    <a:lumMod val="50000"/>
                  </a:schemeClr>
                </a:solidFill>
              </a:ln>
            </c:spPr>
          </c:dPt>
          <c:cat>
            <c:strRef>
              <c:f>X_GSSE_FSE!$U$26:$U$42</c:f>
              <c:strCache>
                <c:ptCount val="17"/>
                <c:pt idx="0">
                  <c:v>GRC</c:v>
                </c:pt>
                <c:pt idx="1">
                  <c:v>ESP</c:v>
                </c:pt>
                <c:pt idx="2">
                  <c:v>FRA</c:v>
                </c:pt>
                <c:pt idx="3">
                  <c:v>SVN</c:v>
                </c:pt>
                <c:pt idx="4">
                  <c:v>NLD</c:v>
                </c:pt>
                <c:pt idx="5">
                  <c:v>CAN</c:v>
                </c:pt>
                <c:pt idx="6">
                  <c:v>BEL</c:v>
                </c:pt>
                <c:pt idx="7">
                  <c:v>GBR</c:v>
                </c:pt>
                <c:pt idx="8">
                  <c:v>OECD</c:v>
                </c:pt>
                <c:pt idx="9">
                  <c:v>EST</c:v>
                </c:pt>
                <c:pt idx="10">
                  <c:v>USA</c:v>
                </c:pt>
                <c:pt idx="11">
                  <c:v>DNK</c:v>
                </c:pt>
                <c:pt idx="12">
                  <c:v>SWE</c:v>
                </c:pt>
                <c:pt idx="13">
                  <c:v>NOR</c:v>
                </c:pt>
                <c:pt idx="14">
                  <c:v>NZL</c:v>
                </c:pt>
                <c:pt idx="15">
                  <c:v>AUS</c:v>
                </c:pt>
                <c:pt idx="16">
                  <c:v>TUR</c:v>
                </c:pt>
              </c:strCache>
            </c:strRef>
          </c:cat>
          <c:val>
            <c:numRef>
              <c:f>X_GSSE_FSE!$V$26:$V$42</c:f>
              <c:numCache>
                <c:formatCode>General</c:formatCode>
                <c:ptCount val="17"/>
                <c:pt idx="0">
                  <c:v>14.30924000766983</c:v>
                </c:pt>
                <c:pt idx="1">
                  <c:v>26.839885121071042</c:v>
                </c:pt>
                <c:pt idx="2">
                  <c:v>46.27883820159451</c:v>
                </c:pt>
                <c:pt idx="3">
                  <c:v>54.12450737624205</c:v>
                </c:pt>
                <c:pt idx="4">
                  <c:v>55.55631887222134</c:v>
                </c:pt>
                <c:pt idx="5">
                  <c:v>67.000576112105577</c:v>
                </c:pt>
                <c:pt idx="6">
                  <c:v>75.383652060424708</c:v>
                </c:pt>
                <c:pt idx="7">
                  <c:v>78.557737949187668</c:v>
                </c:pt>
                <c:pt idx="8">
                  <c:v>82.253623723992419</c:v>
                </c:pt>
                <c:pt idx="9">
                  <c:v>87.753269597569101</c:v>
                </c:pt>
                <c:pt idx="10">
                  <c:v>93.81277854033732</c:v>
                </c:pt>
                <c:pt idx="11">
                  <c:v>97.921470448703445</c:v>
                </c:pt>
                <c:pt idx="12">
                  <c:v>97.71009980388483</c:v>
                </c:pt>
                <c:pt idx="13">
                  <c:v>99.410518961633699</c:v>
                </c:pt>
                <c:pt idx="14">
                  <c:v>99.999999999999986</c:v>
                </c:pt>
                <c:pt idx="15">
                  <c:v>100</c:v>
                </c:pt>
                <c:pt idx="16">
                  <c:v>100.00000000000361</c:v>
                </c:pt>
              </c:numCache>
            </c:numRef>
          </c:val>
        </c:ser>
        <c:dLbls>
          <c:showLegendKey val="0"/>
          <c:showVal val="0"/>
          <c:showCatName val="0"/>
          <c:showSerName val="0"/>
          <c:showPercent val="0"/>
          <c:showBubbleSize val="0"/>
        </c:dLbls>
        <c:gapWidth val="25"/>
        <c:axId val="453829760"/>
        <c:axId val="453831296"/>
      </c:barChart>
      <c:catAx>
        <c:axId val="453829760"/>
        <c:scaling>
          <c:orientation val="minMax"/>
        </c:scaling>
        <c:delete val="0"/>
        <c:axPos val="l"/>
        <c:majorTickMark val="out"/>
        <c:minorTickMark val="none"/>
        <c:tickLblPos val="nextTo"/>
        <c:spPr>
          <a:ln>
            <a:noFill/>
          </a:ln>
        </c:spPr>
        <c:crossAx val="453831296"/>
        <c:crosses val="autoZero"/>
        <c:auto val="1"/>
        <c:lblAlgn val="ctr"/>
        <c:lblOffset val="100"/>
        <c:noMultiLvlLbl val="0"/>
      </c:catAx>
      <c:valAx>
        <c:axId val="453831296"/>
        <c:scaling>
          <c:orientation val="minMax"/>
          <c:max val="100"/>
        </c:scaling>
        <c:delete val="0"/>
        <c:axPos val="b"/>
        <c:numFmt formatCode="#,##0" sourceLinked="0"/>
        <c:majorTickMark val="out"/>
        <c:minorTickMark val="none"/>
        <c:tickLblPos val="nextTo"/>
        <c:spPr>
          <a:ln>
            <a:noFill/>
          </a:ln>
        </c:spPr>
        <c:crossAx val="453829760"/>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CR as a share of GSSE, %, 2012 </a:t>
            </a:r>
            <a:endParaRPr lang="en-GB" sz="1400"/>
          </a:p>
        </c:rich>
      </c:tx>
      <c:layout>
        <c:manualLayout>
          <c:xMode val="edge"/>
          <c:yMode val="edge"/>
          <c:x val="0.58625277777777784"/>
          <c:y val="0.85586277777777775"/>
        </c:manualLayout>
      </c:layout>
      <c:overlay val="1"/>
    </c:title>
    <c:autoTitleDeleted val="0"/>
    <c:plotArea>
      <c:layout/>
      <c:barChart>
        <c:barDir val="bar"/>
        <c:grouping val="clustered"/>
        <c:varyColors val="0"/>
        <c:ser>
          <c:idx val="0"/>
          <c:order val="0"/>
          <c:spPr>
            <a:ln>
              <a:solidFill>
                <a:schemeClr val="accent1">
                  <a:lumMod val="50000"/>
                </a:schemeClr>
              </a:solidFill>
            </a:ln>
          </c:spPr>
          <c:invertIfNegative val="0"/>
          <c:dPt>
            <c:idx val="1"/>
            <c:invertIfNegative val="0"/>
            <c:bubble3D val="0"/>
            <c:spPr>
              <a:solidFill>
                <a:srgbClr val="FF0000"/>
              </a:solidFill>
              <a:ln>
                <a:solidFill>
                  <a:schemeClr val="accent1">
                    <a:lumMod val="50000"/>
                  </a:schemeClr>
                </a:solidFill>
              </a:ln>
            </c:spPr>
          </c:dPt>
          <c:dPt>
            <c:idx val="3"/>
            <c:invertIfNegative val="0"/>
            <c:bubble3D val="0"/>
            <c:spPr>
              <a:solidFill>
                <a:schemeClr val="accent1"/>
              </a:solidFill>
              <a:ln>
                <a:solidFill>
                  <a:schemeClr val="accent1">
                    <a:lumMod val="50000"/>
                  </a:schemeClr>
                </a:solidFill>
              </a:ln>
            </c:spPr>
          </c:dPt>
          <c:dPt>
            <c:idx val="5"/>
            <c:invertIfNegative val="0"/>
            <c:bubble3D val="0"/>
            <c:spPr>
              <a:solidFill>
                <a:schemeClr val="accent1"/>
              </a:solidFill>
              <a:ln>
                <a:solidFill>
                  <a:schemeClr val="accent1">
                    <a:lumMod val="50000"/>
                  </a:schemeClr>
                </a:solidFill>
              </a:ln>
            </c:spPr>
          </c:dPt>
          <c:dPt>
            <c:idx val="7"/>
            <c:invertIfNegative val="0"/>
            <c:bubble3D val="0"/>
            <c:spPr>
              <a:solidFill>
                <a:srgbClr val="FF0000"/>
              </a:solidFill>
              <a:ln>
                <a:solidFill>
                  <a:schemeClr val="accent1">
                    <a:lumMod val="50000"/>
                  </a:schemeClr>
                </a:solidFill>
              </a:ln>
            </c:spPr>
          </c:dPt>
          <c:dPt>
            <c:idx val="9"/>
            <c:invertIfNegative val="0"/>
            <c:bubble3D val="0"/>
            <c:spPr>
              <a:solidFill>
                <a:schemeClr val="accent1"/>
              </a:solidFill>
              <a:ln>
                <a:solidFill>
                  <a:schemeClr val="accent1">
                    <a:lumMod val="50000"/>
                  </a:schemeClr>
                </a:solidFill>
              </a:ln>
            </c:spPr>
          </c:dPt>
          <c:cat>
            <c:strRef>
              <c:f>X_CR_GSSE!$T$24:$T$30</c:f>
              <c:strCache>
                <c:ptCount val="7"/>
                <c:pt idx="0">
                  <c:v>DNK</c:v>
                </c:pt>
                <c:pt idx="1">
                  <c:v>OECD</c:v>
                </c:pt>
                <c:pt idx="2">
                  <c:v>CAN</c:v>
                </c:pt>
                <c:pt idx="3">
                  <c:v>EST</c:v>
                </c:pt>
                <c:pt idx="4">
                  <c:v>NOR</c:v>
                </c:pt>
                <c:pt idx="5">
                  <c:v>NZL</c:v>
                </c:pt>
                <c:pt idx="6">
                  <c:v>AUS</c:v>
                </c:pt>
              </c:strCache>
            </c:strRef>
          </c:cat>
          <c:val>
            <c:numRef>
              <c:f>X_CR_GSSE!$U$24:$U$30</c:f>
              <c:numCache>
                <c:formatCode>0.00</c:formatCode>
                <c:ptCount val="7"/>
                <c:pt idx="0">
                  <c:v>1.7386704777511226</c:v>
                </c:pt>
                <c:pt idx="1">
                  <c:v>3.0183355859259899</c:v>
                </c:pt>
                <c:pt idx="2">
                  <c:v>5.9709682188427022</c:v>
                </c:pt>
                <c:pt idx="3">
                  <c:v>7.4448535504294027</c:v>
                </c:pt>
                <c:pt idx="4">
                  <c:v>8.2898277501168121</c:v>
                </c:pt>
                <c:pt idx="5">
                  <c:v>40.883200410727405</c:v>
                </c:pt>
                <c:pt idx="6">
                  <c:v>50.105133410671868</c:v>
                </c:pt>
              </c:numCache>
            </c:numRef>
          </c:val>
        </c:ser>
        <c:dLbls>
          <c:showLegendKey val="0"/>
          <c:showVal val="0"/>
          <c:showCatName val="0"/>
          <c:showSerName val="0"/>
          <c:showPercent val="0"/>
          <c:showBubbleSize val="0"/>
        </c:dLbls>
        <c:gapWidth val="25"/>
        <c:axId val="454141440"/>
        <c:axId val="454142976"/>
      </c:barChart>
      <c:catAx>
        <c:axId val="454141440"/>
        <c:scaling>
          <c:orientation val="minMax"/>
        </c:scaling>
        <c:delete val="0"/>
        <c:axPos val="l"/>
        <c:majorTickMark val="out"/>
        <c:minorTickMark val="none"/>
        <c:tickLblPos val="nextTo"/>
        <c:spPr>
          <a:ln>
            <a:noFill/>
          </a:ln>
        </c:spPr>
        <c:crossAx val="454142976"/>
        <c:crosses val="autoZero"/>
        <c:auto val="1"/>
        <c:lblAlgn val="ctr"/>
        <c:lblOffset val="100"/>
        <c:noMultiLvlLbl val="0"/>
      </c:catAx>
      <c:valAx>
        <c:axId val="454142976"/>
        <c:scaling>
          <c:orientation val="minMax"/>
          <c:max val="50"/>
        </c:scaling>
        <c:delete val="0"/>
        <c:axPos val="b"/>
        <c:numFmt formatCode="#,##0" sourceLinked="0"/>
        <c:majorTickMark val="out"/>
        <c:minorTickMark val="none"/>
        <c:tickLblPos val="nextTo"/>
        <c:spPr>
          <a:ln>
            <a:noFill/>
          </a:ln>
        </c:spPr>
        <c:crossAx val="454141440"/>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FSE as a share of VOP, %, 2012 </a:t>
            </a:r>
            <a:endParaRPr lang="en-GB" sz="1400"/>
          </a:p>
        </c:rich>
      </c:tx>
      <c:layout>
        <c:manualLayout>
          <c:xMode val="edge"/>
          <c:yMode val="edge"/>
          <c:x val="0.58625277777777784"/>
          <c:y val="0.86643669541307333"/>
        </c:manualLayout>
      </c:layout>
      <c:overlay val="1"/>
    </c:title>
    <c:autoTitleDeleted val="0"/>
    <c:plotArea>
      <c:layout/>
      <c:barChart>
        <c:barDir val="bar"/>
        <c:grouping val="clustered"/>
        <c:varyColors val="0"/>
        <c:ser>
          <c:idx val="0"/>
          <c:order val="0"/>
          <c:spPr>
            <a:solidFill>
              <a:schemeClr val="accent1"/>
            </a:solidFill>
            <a:ln>
              <a:solidFill>
                <a:schemeClr val="accent1">
                  <a:lumMod val="50000"/>
                </a:schemeClr>
              </a:solidFill>
            </a:ln>
          </c:spPr>
          <c:invertIfNegative val="0"/>
          <c:dPt>
            <c:idx val="1"/>
            <c:invertIfNegative val="0"/>
            <c:bubble3D val="0"/>
          </c:dPt>
          <c:dPt>
            <c:idx val="3"/>
            <c:invertIfNegative val="0"/>
            <c:bubble3D val="0"/>
          </c:dPt>
          <c:dPt>
            <c:idx val="5"/>
            <c:invertIfNegative val="0"/>
            <c:bubble3D val="0"/>
          </c:dPt>
          <c:dPt>
            <c:idx val="7"/>
            <c:invertIfNegative val="0"/>
            <c:bubble3D val="0"/>
          </c:dPt>
          <c:dPt>
            <c:idx val="9"/>
            <c:invertIfNegative val="0"/>
            <c:bubble3D val="0"/>
            <c:spPr>
              <a:solidFill>
                <a:srgbClr val="FF0000"/>
              </a:solidFill>
              <a:ln>
                <a:solidFill>
                  <a:schemeClr val="accent1">
                    <a:lumMod val="50000"/>
                  </a:schemeClr>
                </a:solidFill>
              </a:ln>
            </c:spPr>
          </c:dPt>
          <c:dPt>
            <c:idx val="10"/>
            <c:invertIfNegative val="0"/>
            <c:bubble3D val="0"/>
          </c:dPt>
          <c:cat>
            <c:strRef>
              <c:f>X_FSE_VOP!$U$23:$U$40</c:f>
              <c:strCache>
                <c:ptCount val="18"/>
                <c:pt idx="0">
                  <c:v>JPN</c:v>
                </c:pt>
                <c:pt idx="1">
                  <c:v>PRT</c:v>
                </c:pt>
                <c:pt idx="2">
                  <c:v>GBR</c:v>
                </c:pt>
                <c:pt idx="3">
                  <c:v>AUS</c:v>
                </c:pt>
                <c:pt idx="4">
                  <c:v>NOR</c:v>
                </c:pt>
                <c:pt idx="5">
                  <c:v>FRA</c:v>
                </c:pt>
                <c:pt idx="6">
                  <c:v>NLD</c:v>
                </c:pt>
                <c:pt idx="7">
                  <c:v>ESP</c:v>
                </c:pt>
                <c:pt idx="8">
                  <c:v>NZL</c:v>
                </c:pt>
                <c:pt idx="9">
                  <c:v>OECD</c:v>
                </c:pt>
                <c:pt idx="10">
                  <c:v>DNK</c:v>
                </c:pt>
                <c:pt idx="11">
                  <c:v>BEL</c:v>
                </c:pt>
                <c:pt idx="12">
                  <c:v>GRC</c:v>
                </c:pt>
                <c:pt idx="13">
                  <c:v>TUR</c:v>
                </c:pt>
                <c:pt idx="14">
                  <c:v>USA</c:v>
                </c:pt>
                <c:pt idx="15">
                  <c:v>CAN</c:v>
                </c:pt>
                <c:pt idx="16">
                  <c:v>SWE</c:v>
                </c:pt>
                <c:pt idx="17">
                  <c:v>EST</c:v>
                </c:pt>
              </c:strCache>
            </c:strRef>
          </c:cat>
          <c:val>
            <c:numRef>
              <c:f>X_FSE_VOP!$V$23:$V$40</c:f>
              <c:numCache>
                <c:formatCode>General</c:formatCode>
                <c:ptCount val="18"/>
                <c:pt idx="0">
                  <c:v>0.27049204914062996</c:v>
                </c:pt>
                <c:pt idx="1">
                  <c:v>0.38312785174343739</c:v>
                </c:pt>
                <c:pt idx="2">
                  <c:v>0.60096754954829901</c:v>
                </c:pt>
                <c:pt idx="3">
                  <c:v>1.0543446768655484</c:v>
                </c:pt>
                <c:pt idx="4">
                  <c:v>3.2192910494008653</c:v>
                </c:pt>
                <c:pt idx="5">
                  <c:v>4.8844996442686526</c:v>
                </c:pt>
                <c:pt idx="6">
                  <c:v>5.7546857905888347</c:v>
                </c:pt>
                <c:pt idx="7">
                  <c:v>5.7987339220083864</c:v>
                </c:pt>
                <c:pt idx="8">
                  <c:v>10.684508693131495</c:v>
                </c:pt>
                <c:pt idx="9">
                  <c:v>11.074336431268115</c:v>
                </c:pt>
                <c:pt idx="10">
                  <c:v>11.324804822559411</c:v>
                </c:pt>
                <c:pt idx="11">
                  <c:v>11.945042323543863</c:v>
                </c:pt>
                <c:pt idx="12">
                  <c:v>14.57987391125986</c:v>
                </c:pt>
                <c:pt idx="13">
                  <c:v>18.040671612266479</c:v>
                </c:pt>
                <c:pt idx="14">
                  <c:v>34.893943933730306</c:v>
                </c:pt>
                <c:pt idx="15">
                  <c:v>37.916573628826654</c:v>
                </c:pt>
                <c:pt idx="16">
                  <c:v>62.747945508180905</c:v>
                </c:pt>
                <c:pt idx="17">
                  <c:v>66.954585821687701</c:v>
                </c:pt>
              </c:numCache>
            </c:numRef>
          </c:val>
        </c:ser>
        <c:dLbls>
          <c:showLegendKey val="0"/>
          <c:showVal val="0"/>
          <c:showCatName val="0"/>
          <c:showSerName val="0"/>
          <c:showPercent val="0"/>
          <c:showBubbleSize val="0"/>
        </c:dLbls>
        <c:gapWidth val="25"/>
        <c:axId val="454151168"/>
        <c:axId val="389808896"/>
      </c:barChart>
      <c:catAx>
        <c:axId val="454151168"/>
        <c:scaling>
          <c:orientation val="minMax"/>
        </c:scaling>
        <c:delete val="0"/>
        <c:axPos val="l"/>
        <c:majorTickMark val="out"/>
        <c:minorTickMark val="none"/>
        <c:tickLblPos val="nextTo"/>
        <c:spPr>
          <a:ln>
            <a:noFill/>
          </a:ln>
        </c:spPr>
        <c:crossAx val="389808896"/>
        <c:crosses val="autoZero"/>
        <c:auto val="1"/>
        <c:lblAlgn val="ctr"/>
        <c:lblOffset val="100"/>
        <c:noMultiLvlLbl val="0"/>
      </c:catAx>
      <c:valAx>
        <c:axId val="389808896"/>
        <c:scaling>
          <c:orientation val="minMax"/>
          <c:max val="70"/>
        </c:scaling>
        <c:delete val="0"/>
        <c:axPos val="b"/>
        <c:numFmt formatCode="#,##0" sourceLinked="0"/>
        <c:majorTickMark val="out"/>
        <c:minorTickMark val="none"/>
        <c:tickLblPos val="nextTo"/>
        <c:spPr>
          <a:ln>
            <a:noFill/>
          </a:ln>
        </c:spPr>
        <c:crossAx val="454151168"/>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Transfers for Modernisation as a share of TIF, %, 2012 </a:t>
            </a:r>
            <a:endParaRPr lang="en-GB" sz="1400"/>
          </a:p>
        </c:rich>
      </c:tx>
      <c:layout>
        <c:manualLayout>
          <c:xMode val="edge"/>
          <c:yMode val="edge"/>
          <c:x val="0.28895434027777783"/>
          <c:y val="0.85585468483106275"/>
        </c:manualLayout>
      </c:layout>
      <c:overlay val="1"/>
    </c:title>
    <c:autoTitleDeleted val="0"/>
    <c:plotArea>
      <c:layout/>
      <c:barChart>
        <c:barDir val="bar"/>
        <c:grouping val="clustered"/>
        <c:varyColors val="0"/>
        <c:ser>
          <c:idx val="0"/>
          <c:order val="0"/>
          <c:spPr>
            <a:solidFill>
              <a:schemeClr val="accent1"/>
            </a:solidFill>
            <a:ln>
              <a:solidFill>
                <a:schemeClr val="accent1">
                  <a:lumMod val="50000"/>
                </a:schemeClr>
              </a:solidFill>
            </a:ln>
          </c:spPr>
          <c:invertIfNegative val="0"/>
          <c:dPt>
            <c:idx val="1"/>
            <c:invertIfNegative val="0"/>
            <c:bubble3D val="0"/>
          </c:dPt>
          <c:dPt>
            <c:idx val="2"/>
            <c:invertIfNegative val="0"/>
            <c:bubble3D val="0"/>
            <c:spPr>
              <a:solidFill>
                <a:srgbClr val="FF0000"/>
              </a:solidFill>
              <a:ln>
                <a:solidFill>
                  <a:schemeClr val="accent1">
                    <a:lumMod val="50000"/>
                  </a:schemeClr>
                </a:solidFill>
              </a:ln>
            </c:spPr>
          </c:dPt>
          <c:dPt>
            <c:idx val="3"/>
            <c:invertIfNegative val="0"/>
            <c:bubble3D val="0"/>
          </c:dPt>
          <c:dPt>
            <c:idx val="5"/>
            <c:invertIfNegative val="0"/>
            <c:bubble3D val="0"/>
          </c:dPt>
          <c:dPt>
            <c:idx val="7"/>
            <c:invertIfNegative val="0"/>
            <c:bubble3D val="0"/>
          </c:dPt>
          <c:dPt>
            <c:idx val="9"/>
            <c:invertIfNegative val="0"/>
            <c:bubble3D val="0"/>
          </c:dPt>
          <c:dPt>
            <c:idx val="10"/>
            <c:invertIfNegative val="0"/>
            <c:bubble3D val="0"/>
          </c:dPt>
          <c:cat>
            <c:strRef>
              <c:f>X_MOD_TIF!$U$29:$U$39</c:f>
              <c:strCache>
                <c:ptCount val="11"/>
                <c:pt idx="0">
                  <c:v>ESP</c:v>
                </c:pt>
                <c:pt idx="1">
                  <c:v>SWE</c:v>
                </c:pt>
                <c:pt idx="2">
                  <c:v>OECD</c:v>
                </c:pt>
                <c:pt idx="3">
                  <c:v>NLD</c:v>
                </c:pt>
                <c:pt idx="4">
                  <c:v>FRA</c:v>
                </c:pt>
                <c:pt idx="5">
                  <c:v>EST</c:v>
                </c:pt>
                <c:pt idx="6">
                  <c:v>JPN</c:v>
                </c:pt>
                <c:pt idx="7">
                  <c:v>DNK</c:v>
                </c:pt>
                <c:pt idx="8">
                  <c:v>PRT</c:v>
                </c:pt>
                <c:pt idx="9">
                  <c:v>BEL</c:v>
                </c:pt>
                <c:pt idx="10">
                  <c:v>GBR</c:v>
                </c:pt>
              </c:strCache>
            </c:strRef>
          </c:cat>
          <c:val>
            <c:numRef>
              <c:f>X_MOD_TIF!$V$29:$V$39</c:f>
              <c:numCache>
                <c:formatCode>General</c:formatCode>
                <c:ptCount val="11"/>
                <c:pt idx="0">
                  <c:v>3.7359065983230844</c:v>
                </c:pt>
                <c:pt idx="1">
                  <c:v>8.2432458550832219</c:v>
                </c:pt>
                <c:pt idx="2">
                  <c:v>9.480878570994637</c:v>
                </c:pt>
                <c:pt idx="3">
                  <c:v>21.485498213845815</c:v>
                </c:pt>
                <c:pt idx="4">
                  <c:v>48.574357061487241</c:v>
                </c:pt>
                <c:pt idx="5">
                  <c:v>78.082376170316607</c:v>
                </c:pt>
                <c:pt idx="6">
                  <c:v>82.21782178217903</c:v>
                </c:pt>
                <c:pt idx="7">
                  <c:v>87.663502320893869</c:v>
                </c:pt>
                <c:pt idx="8">
                  <c:v>90.238251175422377</c:v>
                </c:pt>
                <c:pt idx="9">
                  <c:v>97.76774213175139</c:v>
                </c:pt>
                <c:pt idx="10">
                  <c:v>100</c:v>
                </c:pt>
              </c:numCache>
            </c:numRef>
          </c:val>
        </c:ser>
        <c:dLbls>
          <c:showLegendKey val="0"/>
          <c:showVal val="0"/>
          <c:showCatName val="0"/>
          <c:showSerName val="0"/>
          <c:showPercent val="0"/>
          <c:showBubbleSize val="0"/>
        </c:dLbls>
        <c:gapWidth val="25"/>
        <c:axId val="389867392"/>
        <c:axId val="389868928"/>
      </c:barChart>
      <c:catAx>
        <c:axId val="389867392"/>
        <c:scaling>
          <c:orientation val="minMax"/>
        </c:scaling>
        <c:delete val="0"/>
        <c:axPos val="l"/>
        <c:majorTickMark val="out"/>
        <c:minorTickMark val="none"/>
        <c:tickLblPos val="nextTo"/>
        <c:spPr>
          <a:ln>
            <a:noFill/>
          </a:ln>
        </c:spPr>
        <c:crossAx val="389868928"/>
        <c:crosses val="autoZero"/>
        <c:auto val="1"/>
        <c:lblAlgn val="ctr"/>
        <c:lblOffset val="100"/>
        <c:noMultiLvlLbl val="0"/>
      </c:catAx>
      <c:valAx>
        <c:axId val="389868928"/>
        <c:scaling>
          <c:orientation val="minMax"/>
          <c:max val="100"/>
        </c:scaling>
        <c:delete val="0"/>
        <c:axPos val="b"/>
        <c:numFmt formatCode="#,##0" sourceLinked="0"/>
        <c:majorTickMark val="out"/>
        <c:minorTickMark val="none"/>
        <c:tickLblPos val="nextTo"/>
        <c:spPr>
          <a:ln>
            <a:noFill/>
          </a:ln>
        </c:spPr>
        <c:crossAx val="389867392"/>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Management of resources as a share of GSSE, %, 2012 </a:t>
            </a:r>
            <a:endParaRPr lang="en-GB" sz="1400"/>
          </a:p>
        </c:rich>
      </c:tx>
      <c:layout>
        <c:manualLayout>
          <c:xMode val="edge"/>
          <c:yMode val="edge"/>
          <c:x val="0.28337604166666669"/>
          <c:y val="0.85585468483106275"/>
        </c:manualLayout>
      </c:layout>
      <c:overlay val="1"/>
    </c:title>
    <c:autoTitleDeleted val="0"/>
    <c:plotArea>
      <c:layout/>
      <c:barChart>
        <c:barDir val="bar"/>
        <c:grouping val="clustered"/>
        <c:varyColors val="0"/>
        <c:ser>
          <c:idx val="0"/>
          <c:order val="0"/>
          <c:spPr>
            <a:solidFill>
              <a:schemeClr val="accent1"/>
            </a:solidFill>
            <a:ln>
              <a:solidFill>
                <a:schemeClr val="accent1">
                  <a:lumMod val="50000"/>
                </a:schemeClr>
              </a:solidFill>
            </a:ln>
          </c:spPr>
          <c:invertIfNegative val="0"/>
          <c:dPt>
            <c:idx val="1"/>
            <c:invertIfNegative val="0"/>
            <c:bubble3D val="0"/>
          </c:dPt>
          <c:dPt>
            <c:idx val="2"/>
            <c:invertIfNegative val="0"/>
            <c:bubble3D val="0"/>
          </c:dPt>
          <c:dPt>
            <c:idx val="3"/>
            <c:invertIfNegative val="0"/>
            <c:bubble3D val="0"/>
          </c:dPt>
          <c:dPt>
            <c:idx val="5"/>
            <c:invertIfNegative val="0"/>
            <c:bubble3D val="0"/>
          </c:dPt>
          <c:dPt>
            <c:idx val="7"/>
            <c:invertIfNegative val="0"/>
            <c:bubble3D val="0"/>
          </c:dPt>
          <c:dPt>
            <c:idx val="9"/>
            <c:invertIfNegative val="0"/>
            <c:bubble3D val="0"/>
          </c:dPt>
          <c:dPt>
            <c:idx val="10"/>
            <c:invertIfNegative val="0"/>
            <c:bubble3D val="0"/>
            <c:spPr>
              <a:solidFill>
                <a:srgbClr val="FF0000"/>
              </a:solidFill>
              <a:ln>
                <a:solidFill>
                  <a:schemeClr val="accent1">
                    <a:lumMod val="50000"/>
                  </a:schemeClr>
                </a:solidFill>
              </a:ln>
            </c:spPr>
          </c:dPt>
          <c:cat>
            <c:strRef>
              <c:f>X_RES_GSSE!$U$24:$U$39</c:f>
              <c:strCache>
                <c:ptCount val="16"/>
                <c:pt idx="0">
                  <c:v>GRC</c:v>
                </c:pt>
                <c:pt idx="1">
                  <c:v>ESP</c:v>
                </c:pt>
                <c:pt idx="2">
                  <c:v>FRA</c:v>
                </c:pt>
                <c:pt idx="3">
                  <c:v>EST</c:v>
                </c:pt>
                <c:pt idx="4">
                  <c:v>GBR</c:v>
                </c:pt>
                <c:pt idx="5">
                  <c:v>CAN</c:v>
                </c:pt>
                <c:pt idx="6">
                  <c:v>NLD</c:v>
                </c:pt>
                <c:pt idx="7">
                  <c:v>BEL</c:v>
                </c:pt>
                <c:pt idx="8">
                  <c:v>NZL</c:v>
                </c:pt>
                <c:pt idx="9">
                  <c:v>SWE</c:v>
                </c:pt>
                <c:pt idx="10">
                  <c:v>OECD</c:v>
                </c:pt>
                <c:pt idx="11">
                  <c:v>TUR</c:v>
                </c:pt>
                <c:pt idx="12">
                  <c:v>DNK</c:v>
                </c:pt>
                <c:pt idx="13">
                  <c:v>USA</c:v>
                </c:pt>
                <c:pt idx="14">
                  <c:v>AUS</c:v>
                </c:pt>
                <c:pt idx="15">
                  <c:v>NOR</c:v>
                </c:pt>
              </c:strCache>
            </c:strRef>
          </c:cat>
          <c:val>
            <c:numRef>
              <c:f>X_RES_GSSE!$V$24:$V$39</c:f>
              <c:numCache>
                <c:formatCode>0.00</c:formatCode>
                <c:ptCount val="16"/>
                <c:pt idx="0">
                  <c:v>0.6372959610598774</c:v>
                </c:pt>
                <c:pt idx="1">
                  <c:v>1.2807840056059239</c:v>
                </c:pt>
                <c:pt idx="2">
                  <c:v>1.4160529961127486</c:v>
                </c:pt>
                <c:pt idx="3">
                  <c:v>4.2074334326801921</c:v>
                </c:pt>
                <c:pt idx="4">
                  <c:v>19.805165701698417</c:v>
                </c:pt>
                <c:pt idx="5">
                  <c:v>37.908204698370959</c:v>
                </c:pt>
                <c:pt idx="6">
                  <c:v>49.908699282950487</c:v>
                </c:pt>
                <c:pt idx="7">
                  <c:v>51.215260974980026</c:v>
                </c:pt>
                <c:pt idx="8">
                  <c:v>64.059635105348249</c:v>
                </c:pt>
                <c:pt idx="9">
                  <c:v>68.269804429372115</c:v>
                </c:pt>
                <c:pt idx="10">
                  <c:v>72.165744440990579</c:v>
                </c:pt>
                <c:pt idx="11">
                  <c:v>73.283734016431126</c:v>
                </c:pt>
                <c:pt idx="12">
                  <c:v>78.702528997979812</c:v>
                </c:pt>
                <c:pt idx="13">
                  <c:v>85.612442695438915</c:v>
                </c:pt>
                <c:pt idx="14">
                  <c:v>89.171258700696725</c:v>
                </c:pt>
                <c:pt idx="15">
                  <c:v>100</c:v>
                </c:pt>
              </c:numCache>
            </c:numRef>
          </c:val>
        </c:ser>
        <c:dLbls>
          <c:showLegendKey val="0"/>
          <c:showVal val="0"/>
          <c:showCatName val="0"/>
          <c:showSerName val="0"/>
          <c:showPercent val="0"/>
          <c:showBubbleSize val="0"/>
        </c:dLbls>
        <c:gapWidth val="25"/>
        <c:axId val="424051072"/>
        <c:axId val="424052608"/>
      </c:barChart>
      <c:catAx>
        <c:axId val="424051072"/>
        <c:scaling>
          <c:orientation val="minMax"/>
        </c:scaling>
        <c:delete val="0"/>
        <c:axPos val="l"/>
        <c:majorTickMark val="out"/>
        <c:minorTickMark val="none"/>
        <c:tickLblPos val="nextTo"/>
        <c:spPr>
          <a:ln>
            <a:noFill/>
          </a:ln>
        </c:spPr>
        <c:crossAx val="424052608"/>
        <c:crosses val="autoZero"/>
        <c:auto val="1"/>
        <c:lblAlgn val="ctr"/>
        <c:lblOffset val="100"/>
        <c:noMultiLvlLbl val="0"/>
      </c:catAx>
      <c:valAx>
        <c:axId val="424052608"/>
        <c:scaling>
          <c:orientation val="minMax"/>
          <c:max val="100"/>
        </c:scaling>
        <c:delete val="0"/>
        <c:axPos val="b"/>
        <c:numFmt formatCode="#,##0" sourceLinked="0"/>
        <c:majorTickMark val="out"/>
        <c:minorTickMark val="none"/>
        <c:tickLblPos val="nextTo"/>
        <c:spPr>
          <a:ln>
            <a:noFill/>
          </a:ln>
        </c:spPr>
        <c:crossAx val="424051072"/>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FSE as a share of GDP, %, 2012 </a:t>
            </a:r>
            <a:endParaRPr lang="en-GB" sz="1400"/>
          </a:p>
        </c:rich>
      </c:tx>
      <c:layout>
        <c:manualLayout>
          <c:xMode val="edge"/>
          <c:yMode val="edge"/>
          <c:x val="0.58404791666666678"/>
          <c:y val="0.85232734797039256"/>
        </c:manualLayout>
      </c:layout>
      <c:overlay val="1"/>
    </c:title>
    <c:autoTitleDeleted val="0"/>
    <c:plotArea>
      <c:layout/>
      <c:barChart>
        <c:barDir val="bar"/>
        <c:grouping val="clustered"/>
        <c:varyColors val="0"/>
        <c:ser>
          <c:idx val="0"/>
          <c:order val="0"/>
          <c:spPr>
            <a:solidFill>
              <a:schemeClr val="accent1"/>
            </a:solidFill>
            <a:ln>
              <a:solidFill>
                <a:schemeClr val="accent1">
                  <a:lumMod val="50000"/>
                </a:schemeClr>
              </a:solidFill>
            </a:ln>
          </c:spPr>
          <c:invertIfNegative val="0"/>
          <c:dPt>
            <c:idx val="1"/>
            <c:invertIfNegative val="0"/>
            <c:bubble3D val="0"/>
          </c:dPt>
          <c:dPt>
            <c:idx val="2"/>
            <c:invertIfNegative val="0"/>
            <c:bubble3D val="0"/>
          </c:dPt>
          <c:dPt>
            <c:idx val="3"/>
            <c:invertIfNegative val="0"/>
            <c:bubble3D val="0"/>
          </c:dPt>
          <c:dPt>
            <c:idx val="5"/>
            <c:invertIfNegative val="0"/>
            <c:bubble3D val="0"/>
          </c:dPt>
          <c:dPt>
            <c:idx val="7"/>
            <c:invertIfNegative val="0"/>
            <c:bubble3D val="0"/>
            <c:spPr>
              <a:solidFill>
                <a:srgbClr val="FF0000"/>
              </a:solidFill>
              <a:ln>
                <a:solidFill>
                  <a:schemeClr val="accent1">
                    <a:lumMod val="50000"/>
                  </a:schemeClr>
                </a:solidFill>
              </a:ln>
            </c:spPr>
          </c:dPt>
          <c:dPt>
            <c:idx val="9"/>
            <c:invertIfNegative val="0"/>
            <c:bubble3D val="0"/>
          </c:dPt>
          <c:dPt>
            <c:idx val="10"/>
            <c:invertIfNegative val="0"/>
            <c:bubble3D val="0"/>
          </c:dPt>
          <c:cat>
            <c:strRef>
              <c:f>X_FSE_GDP!$U$24:$U$41</c:f>
              <c:strCache>
                <c:ptCount val="18"/>
                <c:pt idx="0">
                  <c:v>GBR</c:v>
                </c:pt>
                <c:pt idx="1">
                  <c:v>JPN</c:v>
                </c:pt>
                <c:pt idx="2">
                  <c:v>PRT</c:v>
                </c:pt>
                <c:pt idx="3">
                  <c:v>AUS</c:v>
                </c:pt>
                <c:pt idx="4">
                  <c:v>BEL</c:v>
                </c:pt>
                <c:pt idx="5">
                  <c:v>FRA</c:v>
                </c:pt>
                <c:pt idx="6">
                  <c:v>NLD</c:v>
                </c:pt>
                <c:pt idx="7">
                  <c:v>OECD</c:v>
                </c:pt>
                <c:pt idx="8">
                  <c:v>SVN</c:v>
                </c:pt>
                <c:pt idx="9">
                  <c:v>ESP</c:v>
                </c:pt>
                <c:pt idx="10">
                  <c:v>USA</c:v>
                </c:pt>
                <c:pt idx="11">
                  <c:v>SWE</c:v>
                </c:pt>
                <c:pt idx="12">
                  <c:v>TUR</c:v>
                </c:pt>
                <c:pt idx="13">
                  <c:v>NOR</c:v>
                </c:pt>
                <c:pt idx="14">
                  <c:v>DNK</c:v>
                </c:pt>
                <c:pt idx="15">
                  <c:v>GRC</c:v>
                </c:pt>
                <c:pt idx="16">
                  <c:v>CAN</c:v>
                </c:pt>
                <c:pt idx="17">
                  <c:v>EST</c:v>
                </c:pt>
              </c:strCache>
            </c:strRef>
          </c:cat>
          <c:val>
            <c:numRef>
              <c:f>X_FSE_GDP!$V$24:$V$41</c:f>
              <c:numCache>
                <c:formatCode>General</c:formatCode>
                <c:ptCount val="18"/>
                <c:pt idx="0">
                  <c:v>2.7802868101558246E-4</c:v>
                </c:pt>
                <c:pt idx="1">
                  <c:v>5.3120799643701104E-4</c:v>
                </c:pt>
                <c:pt idx="2">
                  <c:v>6.4089207631713968E-4</c:v>
                </c:pt>
                <c:pt idx="3">
                  <c:v>9.0285709037693767E-4</c:v>
                </c:pt>
                <c:pt idx="4">
                  <c:v>2.3486651532960341E-3</c:v>
                </c:pt>
                <c:pt idx="5">
                  <c:v>2.4840959888908485E-3</c:v>
                </c:pt>
                <c:pt idx="6">
                  <c:v>3.6302678078752267E-3</c:v>
                </c:pt>
                <c:pt idx="7">
                  <c:v>9.4570863023944133E-3</c:v>
                </c:pt>
                <c:pt idx="8">
                  <c:v>9.8780301036809695E-3</c:v>
                </c:pt>
                <c:pt idx="9">
                  <c:v>9.9305836919583706E-3</c:v>
                </c:pt>
                <c:pt idx="10">
                  <c:v>1.1804405290104817E-2</c:v>
                </c:pt>
                <c:pt idx="11">
                  <c:v>1.3421381619626064E-2</c:v>
                </c:pt>
                <c:pt idx="12">
                  <c:v>1.4006289984117182E-2</c:v>
                </c:pt>
                <c:pt idx="13">
                  <c:v>1.5446808453236082E-2</c:v>
                </c:pt>
                <c:pt idx="14">
                  <c:v>1.7167681007812366E-2</c:v>
                </c:pt>
                <c:pt idx="15">
                  <c:v>1.7567940618435272E-2</c:v>
                </c:pt>
                <c:pt idx="16">
                  <c:v>4.3767387723975669E-2</c:v>
                </c:pt>
                <c:pt idx="17">
                  <c:v>5.3904225417816767E-2</c:v>
                </c:pt>
              </c:numCache>
            </c:numRef>
          </c:val>
        </c:ser>
        <c:dLbls>
          <c:showLegendKey val="0"/>
          <c:showVal val="0"/>
          <c:showCatName val="0"/>
          <c:showSerName val="0"/>
          <c:showPercent val="0"/>
          <c:showBubbleSize val="0"/>
        </c:dLbls>
        <c:gapWidth val="25"/>
        <c:axId val="431761664"/>
        <c:axId val="390074368"/>
      </c:barChart>
      <c:catAx>
        <c:axId val="431761664"/>
        <c:scaling>
          <c:orientation val="minMax"/>
        </c:scaling>
        <c:delete val="0"/>
        <c:axPos val="l"/>
        <c:majorTickMark val="out"/>
        <c:minorTickMark val="none"/>
        <c:tickLblPos val="nextTo"/>
        <c:spPr>
          <a:ln>
            <a:noFill/>
          </a:ln>
        </c:spPr>
        <c:crossAx val="390074368"/>
        <c:crosses val="autoZero"/>
        <c:auto val="1"/>
        <c:lblAlgn val="ctr"/>
        <c:lblOffset val="100"/>
        <c:noMultiLvlLbl val="0"/>
      </c:catAx>
      <c:valAx>
        <c:axId val="390074368"/>
        <c:scaling>
          <c:orientation val="minMax"/>
        </c:scaling>
        <c:delete val="0"/>
        <c:axPos val="b"/>
        <c:numFmt formatCode="#,##0.00" sourceLinked="0"/>
        <c:majorTickMark val="out"/>
        <c:minorTickMark val="none"/>
        <c:tickLblPos val="nextTo"/>
        <c:spPr>
          <a:ln>
            <a:noFill/>
          </a:ln>
        </c:spPr>
        <c:crossAx val="431761664"/>
        <c:crosses val="autoZero"/>
        <c:crossBetween val="between"/>
      </c:valAx>
    </c:plotArea>
    <c:plotVisOnly val="1"/>
    <c:dispBlanksAs val="gap"/>
    <c:showDLblsOverMax val="0"/>
  </c:chart>
  <c:spPr>
    <a:ln>
      <a:noFill/>
    </a:ln>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lgn="r">
              <a:defRPr sz="1400"/>
            </a:pPr>
            <a:r>
              <a:rPr lang="en-GB" sz="1400" b="1" i="0" u="none" strike="noStrike" baseline="0">
                <a:effectLst/>
              </a:rPr>
              <a:t>FSE as a share of GSR, %, 2012 </a:t>
            </a:r>
            <a:endParaRPr lang="en-GB" sz="1400"/>
          </a:p>
        </c:rich>
      </c:tx>
      <c:layout>
        <c:manualLayout>
          <c:xMode val="edge"/>
          <c:yMode val="edge"/>
          <c:x val="0.58625277777777784"/>
          <c:y val="0.86643669541307333"/>
        </c:manualLayout>
      </c:layout>
      <c:overlay val="1"/>
    </c:title>
    <c:autoTitleDeleted val="0"/>
    <c:plotArea>
      <c:layout/>
      <c:barChart>
        <c:barDir val="bar"/>
        <c:grouping val="clustered"/>
        <c:varyColors val="0"/>
        <c:ser>
          <c:idx val="0"/>
          <c:order val="0"/>
          <c:spPr>
            <a:solidFill>
              <a:schemeClr val="accent1"/>
            </a:solidFill>
            <a:ln>
              <a:solidFill>
                <a:schemeClr val="accent1">
                  <a:lumMod val="50000"/>
                </a:schemeClr>
              </a:solidFill>
            </a:ln>
          </c:spPr>
          <c:invertIfNegative val="0"/>
          <c:dPt>
            <c:idx val="1"/>
            <c:invertIfNegative val="0"/>
            <c:bubble3D val="0"/>
          </c:dPt>
          <c:dPt>
            <c:idx val="2"/>
            <c:invertIfNegative val="0"/>
            <c:bubble3D val="0"/>
          </c:dPt>
          <c:dPt>
            <c:idx val="3"/>
            <c:invertIfNegative val="0"/>
            <c:bubble3D val="0"/>
          </c:dPt>
          <c:dPt>
            <c:idx val="5"/>
            <c:invertIfNegative val="0"/>
            <c:bubble3D val="0"/>
          </c:dPt>
          <c:dPt>
            <c:idx val="7"/>
            <c:invertIfNegative val="0"/>
            <c:bubble3D val="0"/>
          </c:dPt>
          <c:dPt>
            <c:idx val="9"/>
            <c:invertIfNegative val="0"/>
            <c:bubble3D val="0"/>
            <c:spPr>
              <a:solidFill>
                <a:srgbClr val="FF0000"/>
              </a:solidFill>
              <a:ln>
                <a:solidFill>
                  <a:schemeClr val="accent1">
                    <a:lumMod val="50000"/>
                  </a:schemeClr>
                </a:solidFill>
              </a:ln>
            </c:spPr>
          </c:dPt>
          <c:dPt>
            <c:idx val="10"/>
            <c:invertIfNegative val="0"/>
            <c:bubble3D val="0"/>
          </c:dPt>
          <c:cat>
            <c:strRef>
              <c:f>X_FSE_GSR!$U$23:$U$40</c:f>
              <c:strCache>
                <c:ptCount val="18"/>
                <c:pt idx="0">
                  <c:v>JPN</c:v>
                </c:pt>
                <c:pt idx="1">
                  <c:v>PRT</c:v>
                </c:pt>
                <c:pt idx="2">
                  <c:v>GBR</c:v>
                </c:pt>
                <c:pt idx="3">
                  <c:v>AUS</c:v>
                </c:pt>
                <c:pt idx="4">
                  <c:v>NOR</c:v>
                </c:pt>
                <c:pt idx="5">
                  <c:v>FRA</c:v>
                </c:pt>
                <c:pt idx="6">
                  <c:v>NLD</c:v>
                </c:pt>
                <c:pt idx="7">
                  <c:v>ESP</c:v>
                </c:pt>
                <c:pt idx="8">
                  <c:v>NZL</c:v>
                </c:pt>
                <c:pt idx="9">
                  <c:v>OECD</c:v>
                </c:pt>
                <c:pt idx="10">
                  <c:v>DNK</c:v>
                </c:pt>
                <c:pt idx="11">
                  <c:v>BEL</c:v>
                </c:pt>
                <c:pt idx="12">
                  <c:v>GRC</c:v>
                </c:pt>
                <c:pt idx="13">
                  <c:v>TUR</c:v>
                </c:pt>
                <c:pt idx="14">
                  <c:v>USA</c:v>
                </c:pt>
                <c:pt idx="15">
                  <c:v>CAN</c:v>
                </c:pt>
                <c:pt idx="16">
                  <c:v>SWE</c:v>
                </c:pt>
                <c:pt idx="17">
                  <c:v>EST</c:v>
                </c:pt>
              </c:strCache>
            </c:strRef>
          </c:cat>
          <c:val>
            <c:numRef>
              <c:f>X_FSE_GSR!$V$23:$V$40</c:f>
              <c:numCache>
                <c:formatCode>General</c:formatCode>
                <c:ptCount val="18"/>
                <c:pt idx="0">
                  <c:v>0.26976236339606974</c:v>
                </c:pt>
                <c:pt idx="1">
                  <c:v>0.38166558458835997</c:v>
                </c:pt>
                <c:pt idx="2">
                  <c:v>0.59737750459736749</c:v>
                </c:pt>
                <c:pt idx="3">
                  <c:v>1.0433442324889179</c:v>
                </c:pt>
                <c:pt idx="4">
                  <c:v>3.1188850617663215</c:v>
                </c:pt>
                <c:pt idx="5">
                  <c:v>4.6570271687762803</c:v>
                </c:pt>
                <c:pt idx="6">
                  <c:v>5.4415421383635243</c:v>
                </c:pt>
                <c:pt idx="7">
                  <c:v>5.4809105053024894</c:v>
                </c:pt>
                <c:pt idx="8">
                  <c:v>9.6531202236745539</c:v>
                </c:pt>
                <c:pt idx="9">
                  <c:v>9.9702026472342009</c:v>
                </c:pt>
                <c:pt idx="10">
                  <c:v>10.172759647420909</c:v>
                </c:pt>
                <c:pt idx="11">
                  <c:v>10.670452282308554</c:v>
                </c:pt>
                <c:pt idx="12">
                  <c:v>12.724637768891002</c:v>
                </c:pt>
                <c:pt idx="13">
                  <c:v>15.283436942417177</c:v>
                </c:pt>
                <c:pt idx="14">
                  <c:v>25.867687544870616</c:v>
                </c:pt>
                <c:pt idx="15">
                  <c:v>27.492398216671994</c:v>
                </c:pt>
                <c:pt idx="16">
                  <c:v>38.555291934561922</c:v>
                </c:pt>
                <c:pt idx="17">
                  <c:v>40.103472146130279</c:v>
                </c:pt>
              </c:numCache>
            </c:numRef>
          </c:val>
        </c:ser>
        <c:dLbls>
          <c:showLegendKey val="0"/>
          <c:showVal val="0"/>
          <c:showCatName val="0"/>
          <c:showSerName val="0"/>
          <c:showPercent val="0"/>
          <c:showBubbleSize val="0"/>
        </c:dLbls>
        <c:gapWidth val="25"/>
        <c:axId val="390098944"/>
        <c:axId val="390100480"/>
      </c:barChart>
      <c:catAx>
        <c:axId val="390098944"/>
        <c:scaling>
          <c:orientation val="minMax"/>
        </c:scaling>
        <c:delete val="0"/>
        <c:axPos val="l"/>
        <c:majorTickMark val="out"/>
        <c:minorTickMark val="none"/>
        <c:tickLblPos val="nextTo"/>
        <c:spPr>
          <a:ln>
            <a:noFill/>
          </a:ln>
        </c:spPr>
        <c:crossAx val="390100480"/>
        <c:crosses val="autoZero"/>
        <c:auto val="1"/>
        <c:lblAlgn val="ctr"/>
        <c:lblOffset val="100"/>
        <c:noMultiLvlLbl val="0"/>
      </c:catAx>
      <c:valAx>
        <c:axId val="390100480"/>
        <c:scaling>
          <c:orientation val="minMax"/>
          <c:max val="40"/>
        </c:scaling>
        <c:delete val="0"/>
        <c:axPos val="b"/>
        <c:numFmt formatCode="#,##0" sourceLinked="0"/>
        <c:majorTickMark val="out"/>
        <c:minorTickMark val="none"/>
        <c:tickLblPos val="nextTo"/>
        <c:spPr>
          <a:ln>
            <a:noFill/>
          </a:ln>
        </c:spPr>
        <c:crossAx val="39009894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eferenced-cote-metadata>
  <cote decisionType="InOlis">TAD/FI(2012)2</cote>
  <cote decisionType="InOlis">TAD/FI(2010)8</cote>
  <allcotes>
    <coteref>TAD/FI(2012)2</coteref>
    <coteref>TAD/FI(2010)8</coteref>
    <coteref>TAD/FI(2012)2</coteref>
    <coteref>TAD/FI(2010)8</coteref>
  </allcotes>
</referenced-cote-metadata>
</file>

<file path=customXml/item2.xml><?xml version="1.0" encoding="utf-8"?>
<b:Sources xmlns:b="http://schemas.openxmlformats.org/officeDocument/2006/bibliography" xmlns="http://schemas.openxmlformats.org/officeDocument/2006/bibliography" SelectedStyle="\OECDHarvard.XSL" StyleName="OECD Harvard"/>
</file>

<file path=customXml/itemProps1.xml><?xml version="1.0" encoding="utf-8"?>
<ds:datastoreItem xmlns:ds="http://schemas.openxmlformats.org/officeDocument/2006/customXml" ds:itemID="{2258254E-7DE2-4811-8D81-A470E4FE7E64}">
  <ds:schemaRefs/>
</ds:datastoreItem>
</file>

<file path=customXml/itemProps2.xml><?xml version="1.0" encoding="utf-8"?>
<ds:datastoreItem xmlns:ds="http://schemas.openxmlformats.org/officeDocument/2006/customXml" ds:itemID="{791F040C-CB41-4406-99F6-BC9EB5BA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AE2007.dotm</Template>
  <TotalTime>1326</TotalTime>
  <Pages>40</Pages>
  <Words>12336</Words>
  <Characters>75545</Characters>
  <Application>Microsoft Office Word</Application>
  <DocSecurity>0</DocSecurity>
  <Lines>1259</Lines>
  <Paragraphs>502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O.E.C.D.</Company>
  <LinksUpToDate>false</LinksUpToDate>
  <CharactersWithSpaces>87379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MAGUIRE Helen</dc:creator>
  <cp:lastModifiedBy>LINCOURT Stéphanie</cp:lastModifiedBy>
  <cp:revision>14</cp:revision>
  <cp:lastPrinted>2016-03-21T14:30:00Z</cp:lastPrinted>
  <dcterms:created xsi:type="dcterms:W3CDTF">2016-03-10T13:35:00Z</dcterms:created>
  <dcterms:modified xsi:type="dcterms:W3CDTF">2016-03-21T14:30:00Z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jor Version">
    <vt:lpwstr>1</vt:lpwstr>
  </property>
  <property fmtid="{D5CDD505-2E9C-101B-9397-08002B2CF9AE}" pid="3" name="Minor Version">
    <vt:lpwstr>0</vt:lpwstr>
  </property>
  <property fmtid="{D5CDD505-2E9C-101B-9397-08002B2CF9AE}" pid="4" name="Build">
    <vt:lpwstr>20110530-001</vt:lpwstr>
  </property>
  <property fmtid="{D5CDD505-2E9C-101B-9397-08002B2CF9AE}" pid="5" name="OD_DOCUMENTSTATUS">
    <vt:lpwstr>On OLIS</vt:lpwstr>
  </property>
</Properties>
</file>