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1BEF7" w14:textId="72562799" w:rsidR="00C77DDB" w:rsidRDefault="00662B40" w:rsidP="00C77DDB">
      <w:pPr>
        <w:pStyle w:val="Heading1"/>
        <w:jc w:val="both"/>
        <w:rPr>
          <w:lang w:val="en-US"/>
        </w:rPr>
      </w:pPr>
      <w:r>
        <w:rPr>
          <w:lang w:val="en-US"/>
        </w:rPr>
        <w:t>Inland fisheries</w:t>
      </w:r>
    </w:p>
    <w:p w14:paraId="6D1CB006" w14:textId="19A09E8F" w:rsidR="00C77DDB" w:rsidRDefault="00C77DDB" w:rsidP="00C77DDB">
      <w:pPr>
        <w:pStyle w:val="Heading2"/>
        <w:jc w:val="both"/>
        <w:rPr>
          <w:lang w:val="en-US"/>
        </w:rPr>
      </w:pPr>
      <w:r>
        <w:rPr>
          <w:lang w:val="en-US"/>
        </w:rPr>
        <w:t xml:space="preserve">Note on individual </w:t>
      </w:r>
      <w:r w:rsidRPr="007B3B68">
        <w:rPr>
          <w:lang w:val="en-US"/>
        </w:rPr>
        <w:t>countries</w:t>
      </w:r>
      <w:r>
        <w:rPr>
          <w:lang w:val="en-US"/>
        </w:rPr>
        <w:t xml:space="preserve"> or areas</w:t>
      </w:r>
    </w:p>
    <w:tbl>
      <w:tblPr>
        <w:tblW w:w="8617" w:type="dxa"/>
        <w:tblLook w:val="04A0" w:firstRow="1" w:lastRow="0" w:firstColumn="1" w:lastColumn="0" w:noHBand="0" w:noVBand="1"/>
      </w:tblPr>
      <w:tblGrid>
        <w:gridCol w:w="2665"/>
        <w:gridCol w:w="1984"/>
        <w:gridCol w:w="1984"/>
        <w:gridCol w:w="1984"/>
      </w:tblGrid>
      <w:tr w:rsidR="00330AB1" w:rsidRPr="00D1793C" w14:paraId="5132F8BF" w14:textId="77777777" w:rsidTr="005B3551">
        <w:trPr>
          <w:trHeight w:val="57"/>
        </w:trPr>
        <w:tc>
          <w:tcPr>
            <w:tcW w:w="2665" w:type="dxa"/>
            <w:tcBorders>
              <w:top w:val="nil"/>
              <w:left w:val="nil"/>
              <w:bottom w:val="nil"/>
              <w:right w:val="nil"/>
            </w:tcBorders>
            <w:shd w:val="clear" w:color="auto" w:fill="auto"/>
            <w:noWrap/>
            <w:vAlign w:val="center"/>
            <w:hideMark/>
          </w:tcPr>
          <w:p w14:paraId="0099D81C" w14:textId="73EADA7B" w:rsidR="00330AB1" w:rsidRPr="00D1793C" w:rsidRDefault="00BB7EDF" w:rsidP="00330AB1">
            <w:pPr>
              <w:rPr>
                <w:sz w:val="20"/>
                <w:szCs w:val="20"/>
                <w:lang w:val="en-US"/>
              </w:rPr>
            </w:pPr>
            <w:hyperlink w:anchor="Australia" w:history="1">
              <w:r w:rsidR="00330AB1" w:rsidRPr="00D1793C">
                <w:rPr>
                  <w:rStyle w:val="Hyperlink"/>
                  <w:sz w:val="20"/>
                  <w:szCs w:val="20"/>
                  <w:lang w:val="en-US"/>
                </w:rPr>
                <w:t>Australia</w:t>
              </w:r>
            </w:hyperlink>
          </w:p>
        </w:tc>
        <w:tc>
          <w:tcPr>
            <w:tcW w:w="1984" w:type="dxa"/>
            <w:tcBorders>
              <w:top w:val="nil"/>
              <w:left w:val="nil"/>
              <w:bottom w:val="nil"/>
              <w:right w:val="nil"/>
            </w:tcBorders>
            <w:shd w:val="clear" w:color="auto" w:fill="auto"/>
            <w:noWrap/>
            <w:vAlign w:val="center"/>
            <w:hideMark/>
          </w:tcPr>
          <w:p w14:paraId="29045C73" w14:textId="47D3A0E0" w:rsidR="00330AB1" w:rsidRPr="00D1793C" w:rsidRDefault="00BB7EDF" w:rsidP="00330AB1">
            <w:pPr>
              <w:rPr>
                <w:sz w:val="20"/>
                <w:szCs w:val="20"/>
                <w:lang w:val="en-US"/>
              </w:rPr>
            </w:pPr>
            <w:hyperlink w:anchor="Croatia" w:history="1">
              <w:r w:rsidR="00330AB1" w:rsidRPr="00D1793C">
                <w:rPr>
                  <w:rStyle w:val="Hyperlink"/>
                  <w:sz w:val="20"/>
                  <w:szCs w:val="20"/>
                  <w:lang w:val="en-US"/>
                </w:rPr>
                <w:t>Cr</w:t>
              </w:r>
              <w:r w:rsidR="00330AB1" w:rsidRPr="00D1793C">
                <w:rPr>
                  <w:rStyle w:val="Hyperlink"/>
                  <w:sz w:val="20"/>
                  <w:szCs w:val="20"/>
                </w:rPr>
                <w:t>oatia</w:t>
              </w:r>
            </w:hyperlink>
          </w:p>
        </w:tc>
        <w:tc>
          <w:tcPr>
            <w:tcW w:w="1984" w:type="dxa"/>
            <w:tcBorders>
              <w:top w:val="nil"/>
              <w:left w:val="nil"/>
              <w:bottom w:val="nil"/>
              <w:right w:val="nil"/>
            </w:tcBorders>
            <w:shd w:val="clear" w:color="auto" w:fill="auto"/>
            <w:noWrap/>
            <w:vAlign w:val="center"/>
            <w:hideMark/>
          </w:tcPr>
          <w:p w14:paraId="275B7D0C" w14:textId="20F0F833" w:rsidR="00330AB1" w:rsidRPr="00D1793C" w:rsidRDefault="00BB7EDF" w:rsidP="00330AB1">
            <w:pPr>
              <w:rPr>
                <w:sz w:val="20"/>
                <w:szCs w:val="20"/>
                <w:lang w:val="en-US"/>
              </w:rPr>
            </w:pPr>
            <w:hyperlink w:anchor="Japan" w:history="1">
              <w:r w:rsidR="00330AB1" w:rsidRPr="00D1793C">
                <w:rPr>
                  <w:rStyle w:val="Hyperlink"/>
                  <w:sz w:val="20"/>
                  <w:szCs w:val="20"/>
                  <w:lang w:val="en-US"/>
                </w:rPr>
                <w:t>Japan</w:t>
              </w:r>
            </w:hyperlink>
          </w:p>
        </w:tc>
        <w:tc>
          <w:tcPr>
            <w:tcW w:w="1984" w:type="dxa"/>
            <w:tcBorders>
              <w:top w:val="nil"/>
              <w:left w:val="nil"/>
              <w:bottom w:val="nil"/>
              <w:right w:val="nil"/>
            </w:tcBorders>
            <w:shd w:val="clear" w:color="auto" w:fill="auto"/>
            <w:noWrap/>
            <w:vAlign w:val="center"/>
            <w:hideMark/>
          </w:tcPr>
          <w:p w14:paraId="7BD90F75" w14:textId="691DA760" w:rsidR="00330AB1" w:rsidRPr="00D1793C" w:rsidRDefault="00BB7EDF" w:rsidP="00330AB1">
            <w:pPr>
              <w:rPr>
                <w:sz w:val="20"/>
                <w:szCs w:val="20"/>
                <w:lang w:val="en-US"/>
              </w:rPr>
            </w:pPr>
            <w:hyperlink w:anchor="Spain" w:history="1">
              <w:r w:rsidR="00330AB1" w:rsidRPr="00D1793C">
                <w:rPr>
                  <w:rStyle w:val="Hyperlink"/>
                  <w:sz w:val="20"/>
                  <w:szCs w:val="20"/>
                  <w:lang w:val="en-US"/>
                </w:rPr>
                <w:t>Spain</w:t>
              </w:r>
            </w:hyperlink>
          </w:p>
        </w:tc>
      </w:tr>
      <w:tr w:rsidR="00330AB1" w:rsidRPr="00D1793C" w14:paraId="5BF70073" w14:textId="77777777" w:rsidTr="005B3551">
        <w:trPr>
          <w:trHeight w:val="57"/>
        </w:trPr>
        <w:tc>
          <w:tcPr>
            <w:tcW w:w="2665" w:type="dxa"/>
            <w:tcBorders>
              <w:top w:val="nil"/>
              <w:left w:val="nil"/>
              <w:bottom w:val="nil"/>
              <w:right w:val="nil"/>
            </w:tcBorders>
            <w:shd w:val="clear" w:color="auto" w:fill="auto"/>
            <w:noWrap/>
            <w:vAlign w:val="center"/>
            <w:hideMark/>
          </w:tcPr>
          <w:p w14:paraId="2B7D9593" w14:textId="1366D444" w:rsidR="00330AB1" w:rsidRPr="00D1793C" w:rsidRDefault="00BB7EDF" w:rsidP="00330AB1">
            <w:pPr>
              <w:rPr>
                <w:sz w:val="20"/>
                <w:szCs w:val="20"/>
                <w:lang w:val="en-US"/>
              </w:rPr>
            </w:pPr>
            <w:hyperlink w:anchor="Austria" w:history="1">
              <w:r w:rsidR="00330AB1" w:rsidRPr="00D1793C">
                <w:rPr>
                  <w:rStyle w:val="Hyperlink"/>
                  <w:sz w:val="20"/>
                  <w:szCs w:val="20"/>
                  <w:lang w:val="en-US"/>
                </w:rPr>
                <w:t>Austria</w:t>
              </w:r>
            </w:hyperlink>
          </w:p>
        </w:tc>
        <w:tc>
          <w:tcPr>
            <w:tcW w:w="1984" w:type="dxa"/>
            <w:tcBorders>
              <w:top w:val="nil"/>
              <w:left w:val="nil"/>
              <w:bottom w:val="nil"/>
              <w:right w:val="nil"/>
            </w:tcBorders>
            <w:shd w:val="clear" w:color="auto" w:fill="auto"/>
            <w:noWrap/>
            <w:vAlign w:val="center"/>
            <w:hideMark/>
          </w:tcPr>
          <w:p w14:paraId="0BDFE83F" w14:textId="6D723A23" w:rsidR="00330AB1" w:rsidRPr="00D1793C" w:rsidRDefault="00BB7EDF" w:rsidP="00330AB1">
            <w:pPr>
              <w:rPr>
                <w:sz w:val="20"/>
                <w:szCs w:val="20"/>
                <w:lang w:val="en-US"/>
              </w:rPr>
            </w:pPr>
            <w:hyperlink w:anchor="Germany" w:history="1">
              <w:r w:rsidR="00330AB1" w:rsidRPr="00D1793C">
                <w:rPr>
                  <w:rStyle w:val="Hyperlink"/>
                  <w:sz w:val="20"/>
                  <w:szCs w:val="20"/>
                  <w:lang w:val="en-US"/>
                </w:rPr>
                <w:t>Germany</w:t>
              </w:r>
            </w:hyperlink>
          </w:p>
        </w:tc>
        <w:tc>
          <w:tcPr>
            <w:tcW w:w="1984" w:type="dxa"/>
            <w:tcBorders>
              <w:top w:val="nil"/>
              <w:left w:val="nil"/>
              <w:bottom w:val="nil"/>
              <w:right w:val="nil"/>
            </w:tcBorders>
            <w:shd w:val="clear" w:color="auto" w:fill="auto"/>
            <w:noWrap/>
            <w:vAlign w:val="center"/>
            <w:hideMark/>
          </w:tcPr>
          <w:p w14:paraId="27DD6313" w14:textId="524A55DD" w:rsidR="00330AB1" w:rsidRPr="00D1793C" w:rsidRDefault="00BB7EDF" w:rsidP="00330AB1">
            <w:pPr>
              <w:rPr>
                <w:sz w:val="20"/>
                <w:szCs w:val="20"/>
                <w:lang w:val="en-US"/>
              </w:rPr>
            </w:pPr>
            <w:hyperlink w:anchor="Lithuania" w:history="1">
              <w:r w:rsidR="00330AB1" w:rsidRPr="00D1793C">
                <w:rPr>
                  <w:rStyle w:val="Hyperlink"/>
                  <w:sz w:val="20"/>
                  <w:szCs w:val="20"/>
                </w:rPr>
                <w:t>Lithuania</w:t>
              </w:r>
            </w:hyperlink>
          </w:p>
        </w:tc>
        <w:tc>
          <w:tcPr>
            <w:tcW w:w="1984" w:type="dxa"/>
            <w:tcBorders>
              <w:top w:val="nil"/>
              <w:left w:val="nil"/>
              <w:bottom w:val="nil"/>
              <w:right w:val="nil"/>
            </w:tcBorders>
            <w:shd w:val="clear" w:color="auto" w:fill="auto"/>
            <w:noWrap/>
            <w:vAlign w:val="center"/>
            <w:hideMark/>
          </w:tcPr>
          <w:p w14:paraId="732E8D7E" w14:textId="7C6A02AE" w:rsidR="00330AB1" w:rsidRPr="00D1793C" w:rsidRDefault="00BB7EDF" w:rsidP="00330AB1">
            <w:pPr>
              <w:rPr>
                <w:sz w:val="20"/>
                <w:szCs w:val="20"/>
                <w:lang w:val="en-US"/>
              </w:rPr>
            </w:pPr>
            <w:hyperlink w:anchor="Sweden" w:history="1">
              <w:r w:rsidR="00330AB1" w:rsidRPr="00D1793C">
                <w:rPr>
                  <w:rStyle w:val="Hyperlink"/>
                  <w:sz w:val="20"/>
                  <w:szCs w:val="20"/>
                  <w:lang w:val="en-US"/>
                </w:rPr>
                <w:t>Sweden</w:t>
              </w:r>
            </w:hyperlink>
          </w:p>
        </w:tc>
      </w:tr>
      <w:tr w:rsidR="00330AB1" w:rsidRPr="00D1793C" w14:paraId="3216B8D0" w14:textId="77777777" w:rsidTr="005B3551">
        <w:trPr>
          <w:trHeight w:val="57"/>
        </w:trPr>
        <w:tc>
          <w:tcPr>
            <w:tcW w:w="2665" w:type="dxa"/>
            <w:tcBorders>
              <w:top w:val="nil"/>
              <w:left w:val="nil"/>
              <w:bottom w:val="nil"/>
              <w:right w:val="nil"/>
            </w:tcBorders>
            <w:shd w:val="clear" w:color="auto" w:fill="auto"/>
            <w:noWrap/>
            <w:vAlign w:val="center"/>
            <w:hideMark/>
          </w:tcPr>
          <w:p w14:paraId="2DD9285A" w14:textId="58964FE6" w:rsidR="00330AB1" w:rsidRPr="00D1793C" w:rsidRDefault="00BB7EDF" w:rsidP="00330AB1">
            <w:pPr>
              <w:rPr>
                <w:sz w:val="20"/>
                <w:szCs w:val="20"/>
                <w:lang w:val="en-US"/>
              </w:rPr>
            </w:pPr>
            <w:hyperlink w:anchor="Brazil" w:history="1">
              <w:r w:rsidR="00330AB1" w:rsidRPr="00D1793C">
                <w:rPr>
                  <w:rStyle w:val="Hyperlink"/>
                  <w:sz w:val="20"/>
                  <w:szCs w:val="20"/>
                  <w:lang w:val="en-US"/>
                </w:rPr>
                <w:t>Brazil</w:t>
              </w:r>
            </w:hyperlink>
          </w:p>
        </w:tc>
        <w:tc>
          <w:tcPr>
            <w:tcW w:w="1984" w:type="dxa"/>
            <w:tcBorders>
              <w:top w:val="nil"/>
              <w:left w:val="nil"/>
              <w:bottom w:val="nil"/>
              <w:right w:val="nil"/>
            </w:tcBorders>
            <w:shd w:val="clear" w:color="auto" w:fill="auto"/>
            <w:noWrap/>
            <w:vAlign w:val="center"/>
          </w:tcPr>
          <w:p w14:paraId="7EEDBFBC" w14:textId="68A4943F" w:rsidR="00330AB1" w:rsidRPr="00D1793C" w:rsidRDefault="00BB7EDF" w:rsidP="00330AB1">
            <w:pPr>
              <w:rPr>
                <w:sz w:val="20"/>
                <w:szCs w:val="20"/>
                <w:lang w:val="en-US"/>
              </w:rPr>
            </w:pPr>
            <w:hyperlink w:anchor="Greece" w:history="1">
              <w:r w:rsidR="00330AB1" w:rsidRPr="00D1793C">
                <w:rPr>
                  <w:rStyle w:val="Hyperlink"/>
                  <w:sz w:val="20"/>
                  <w:szCs w:val="20"/>
                  <w:lang w:val="en-US"/>
                </w:rPr>
                <w:t>Greece</w:t>
              </w:r>
            </w:hyperlink>
          </w:p>
        </w:tc>
        <w:tc>
          <w:tcPr>
            <w:tcW w:w="1984" w:type="dxa"/>
            <w:tcBorders>
              <w:top w:val="nil"/>
              <w:left w:val="nil"/>
              <w:bottom w:val="nil"/>
              <w:right w:val="nil"/>
            </w:tcBorders>
            <w:shd w:val="clear" w:color="auto" w:fill="auto"/>
            <w:noWrap/>
            <w:vAlign w:val="center"/>
            <w:hideMark/>
          </w:tcPr>
          <w:p w14:paraId="01E19499" w14:textId="47D36E19" w:rsidR="00330AB1" w:rsidRPr="00D1793C" w:rsidRDefault="00BB7EDF" w:rsidP="00330AB1">
            <w:pPr>
              <w:rPr>
                <w:sz w:val="20"/>
                <w:szCs w:val="20"/>
                <w:lang w:val="en-US"/>
              </w:rPr>
            </w:pPr>
            <w:hyperlink w:anchor="Malaysia" w:history="1">
              <w:r w:rsidR="00330AB1" w:rsidRPr="00D1793C">
                <w:rPr>
                  <w:rStyle w:val="Hyperlink"/>
                  <w:sz w:val="20"/>
                  <w:szCs w:val="20"/>
                  <w:lang w:val="en-US"/>
                </w:rPr>
                <w:t>Malaysia</w:t>
              </w:r>
            </w:hyperlink>
          </w:p>
        </w:tc>
        <w:tc>
          <w:tcPr>
            <w:tcW w:w="1984" w:type="dxa"/>
            <w:tcBorders>
              <w:top w:val="nil"/>
              <w:left w:val="nil"/>
              <w:bottom w:val="nil"/>
              <w:right w:val="nil"/>
            </w:tcBorders>
            <w:shd w:val="clear" w:color="auto" w:fill="auto"/>
            <w:noWrap/>
            <w:vAlign w:val="center"/>
          </w:tcPr>
          <w:p w14:paraId="460E6A74" w14:textId="58273F08" w:rsidR="00330AB1" w:rsidRPr="00D1793C" w:rsidRDefault="00BB7EDF" w:rsidP="00330AB1">
            <w:pPr>
              <w:rPr>
                <w:sz w:val="20"/>
                <w:szCs w:val="20"/>
                <w:lang w:val="en-US"/>
              </w:rPr>
            </w:pPr>
            <w:hyperlink w:anchor="UnitedKingdom" w:history="1">
              <w:r w:rsidR="00330AB1" w:rsidRPr="00D1793C">
                <w:rPr>
                  <w:rStyle w:val="Hyperlink"/>
                  <w:sz w:val="20"/>
                  <w:szCs w:val="20"/>
                  <w:lang w:val="en-US"/>
                </w:rPr>
                <w:t>United Kingdom</w:t>
              </w:r>
            </w:hyperlink>
          </w:p>
        </w:tc>
      </w:tr>
      <w:tr w:rsidR="00330AB1" w:rsidRPr="00D1793C" w14:paraId="3ADA681D" w14:textId="77777777" w:rsidTr="005B3551">
        <w:trPr>
          <w:trHeight w:val="57"/>
        </w:trPr>
        <w:tc>
          <w:tcPr>
            <w:tcW w:w="2665" w:type="dxa"/>
            <w:tcBorders>
              <w:top w:val="nil"/>
              <w:left w:val="nil"/>
              <w:bottom w:val="nil"/>
              <w:right w:val="nil"/>
            </w:tcBorders>
            <w:shd w:val="clear" w:color="auto" w:fill="auto"/>
            <w:noWrap/>
            <w:vAlign w:val="center"/>
            <w:hideMark/>
          </w:tcPr>
          <w:p w14:paraId="2CBCD7C9" w14:textId="705BFE3B" w:rsidR="00330AB1" w:rsidRPr="00D1793C" w:rsidRDefault="00BB7EDF" w:rsidP="00330AB1">
            <w:pPr>
              <w:rPr>
                <w:sz w:val="20"/>
                <w:szCs w:val="20"/>
                <w:lang w:val="en-US"/>
              </w:rPr>
            </w:pPr>
            <w:hyperlink w:anchor="Canada" w:history="1">
              <w:r w:rsidR="00330AB1" w:rsidRPr="00D1793C">
                <w:rPr>
                  <w:rStyle w:val="Hyperlink"/>
                  <w:sz w:val="20"/>
                  <w:szCs w:val="20"/>
                  <w:lang w:val="en-US"/>
                </w:rPr>
                <w:t>Canada</w:t>
              </w:r>
            </w:hyperlink>
          </w:p>
        </w:tc>
        <w:tc>
          <w:tcPr>
            <w:tcW w:w="1984" w:type="dxa"/>
            <w:tcBorders>
              <w:top w:val="nil"/>
              <w:left w:val="nil"/>
              <w:bottom w:val="nil"/>
              <w:right w:val="nil"/>
            </w:tcBorders>
            <w:shd w:val="clear" w:color="auto" w:fill="auto"/>
            <w:noWrap/>
            <w:vAlign w:val="center"/>
          </w:tcPr>
          <w:p w14:paraId="63AEF3CA" w14:textId="541FCDFD" w:rsidR="00330AB1" w:rsidRPr="00D1793C" w:rsidRDefault="00BB7EDF" w:rsidP="00330AB1">
            <w:pPr>
              <w:rPr>
                <w:sz w:val="20"/>
                <w:szCs w:val="20"/>
                <w:lang w:val="en-US"/>
              </w:rPr>
            </w:pPr>
            <w:hyperlink w:anchor="Indonesia" w:history="1">
              <w:r w:rsidR="00330AB1" w:rsidRPr="00D1793C">
                <w:rPr>
                  <w:rStyle w:val="Hyperlink"/>
                  <w:sz w:val="20"/>
                  <w:szCs w:val="20"/>
                  <w:lang w:val="en-US"/>
                </w:rPr>
                <w:t>Indonesia</w:t>
              </w:r>
            </w:hyperlink>
          </w:p>
        </w:tc>
        <w:tc>
          <w:tcPr>
            <w:tcW w:w="1984" w:type="dxa"/>
            <w:tcBorders>
              <w:top w:val="nil"/>
              <w:left w:val="nil"/>
              <w:bottom w:val="nil"/>
              <w:right w:val="nil"/>
            </w:tcBorders>
            <w:shd w:val="clear" w:color="auto" w:fill="auto"/>
            <w:noWrap/>
            <w:vAlign w:val="center"/>
          </w:tcPr>
          <w:p w14:paraId="49CB67F2" w14:textId="153389AE" w:rsidR="00330AB1" w:rsidRPr="00D1793C" w:rsidRDefault="00BB7EDF" w:rsidP="00330AB1">
            <w:pPr>
              <w:rPr>
                <w:sz w:val="20"/>
                <w:szCs w:val="20"/>
                <w:lang w:val="en-US"/>
              </w:rPr>
            </w:pPr>
            <w:hyperlink w:anchor="Mexico" w:history="1">
              <w:r w:rsidR="00330AB1" w:rsidRPr="00D1793C">
                <w:rPr>
                  <w:rStyle w:val="Hyperlink"/>
                  <w:sz w:val="20"/>
                  <w:szCs w:val="20"/>
                  <w:lang w:val="en-US"/>
                </w:rPr>
                <w:t>Mexico</w:t>
              </w:r>
            </w:hyperlink>
          </w:p>
        </w:tc>
        <w:tc>
          <w:tcPr>
            <w:tcW w:w="1984" w:type="dxa"/>
            <w:tcBorders>
              <w:top w:val="nil"/>
              <w:left w:val="nil"/>
              <w:bottom w:val="nil"/>
              <w:right w:val="nil"/>
            </w:tcBorders>
            <w:shd w:val="clear" w:color="auto" w:fill="auto"/>
            <w:noWrap/>
            <w:vAlign w:val="center"/>
          </w:tcPr>
          <w:p w14:paraId="1B5F8768" w14:textId="74A9FCEE" w:rsidR="00330AB1" w:rsidRPr="00D1793C" w:rsidRDefault="00BB7EDF" w:rsidP="00330AB1">
            <w:pPr>
              <w:rPr>
                <w:sz w:val="20"/>
                <w:szCs w:val="20"/>
                <w:lang w:val="en-US"/>
              </w:rPr>
            </w:pPr>
            <w:hyperlink w:anchor="UnitedStates" w:history="1">
              <w:r w:rsidR="00330AB1" w:rsidRPr="00D1793C">
                <w:rPr>
                  <w:rStyle w:val="Hyperlink"/>
                  <w:sz w:val="20"/>
                  <w:szCs w:val="20"/>
                  <w:lang w:val="en-US"/>
                </w:rPr>
                <w:t>United States</w:t>
              </w:r>
            </w:hyperlink>
          </w:p>
        </w:tc>
      </w:tr>
      <w:tr w:rsidR="00330AB1" w:rsidRPr="00D1793C" w14:paraId="2813B051" w14:textId="77777777" w:rsidTr="005B3551">
        <w:trPr>
          <w:trHeight w:val="57"/>
        </w:trPr>
        <w:tc>
          <w:tcPr>
            <w:tcW w:w="2665" w:type="dxa"/>
            <w:tcBorders>
              <w:top w:val="nil"/>
              <w:left w:val="nil"/>
              <w:bottom w:val="nil"/>
              <w:right w:val="nil"/>
            </w:tcBorders>
            <w:shd w:val="clear" w:color="auto" w:fill="auto"/>
            <w:noWrap/>
            <w:vAlign w:val="center"/>
          </w:tcPr>
          <w:p w14:paraId="67D8F760" w14:textId="0A27A698" w:rsidR="00330AB1" w:rsidRPr="00D1793C" w:rsidRDefault="00BB7EDF" w:rsidP="00330AB1">
            <w:pPr>
              <w:rPr>
                <w:sz w:val="20"/>
                <w:szCs w:val="20"/>
                <w:lang w:val="en-US"/>
              </w:rPr>
            </w:pPr>
            <w:hyperlink w:anchor="China" w:history="1">
              <w:r w:rsidR="00D1793C">
                <w:rPr>
                  <w:rStyle w:val="Hyperlink"/>
                  <w:sz w:val="20"/>
                  <w:szCs w:val="20"/>
                  <w:lang w:val="en-US"/>
                </w:rPr>
                <w:t>China (People’s Republic of)</w:t>
              </w:r>
            </w:hyperlink>
          </w:p>
        </w:tc>
        <w:tc>
          <w:tcPr>
            <w:tcW w:w="1984" w:type="dxa"/>
            <w:tcBorders>
              <w:top w:val="nil"/>
              <w:left w:val="nil"/>
              <w:bottom w:val="nil"/>
              <w:right w:val="nil"/>
            </w:tcBorders>
            <w:shd w:val="clear" w:color="auto" w:fill="auto"/>
            <w:noWrap/>
            <w:vAlign w:val="center"/>
          </w:tcPr>
          <w:p w14:paraId="09970BB9" w14:textId="39778DCD" w:rsidR="00330AB1" w:rsidRPr="00D1793C" w:rsidRDefault="00BB7EDF" w:rsidP="00330AB1">
            <w:pPr>
              <w:rPr>
                <w:sz w:val="20"/>
                <w:szCs w:val="20"/>
                <w:lang w:val="en-US"/>
              </w:rPr>
            </w:pPr>
            <w:hyperlink w:anchor="Ireland" w:history="1">
              <w:r w:rsidR="00330AB1" w:rsidRPr="00D1793C">
                <w:rPr>
                  <w:rStyle w:val="Hyperlink"/>
                  <w:sz w:val="20"/>
                  <w:szCs w:val="20"/>
                  <w:lang w:val="en-US"/>
                </w:rPr>
                <w:t>Ireland</w:t>
              </w:r>
            </w:hyperlink>
          </w:p>
        </w:tc>
        <w:tc>
          <w:tcPr>
            <w:tcW w:w="1984" w:type="dxa"/>
            <w:tcBorders>
              <w:top w:val="nil"/>
              <w:left w:val="nil"/>
              <w:bottom w:val="nil"/>
              <w:right w:val="nil"/>
            </w:tcBorders>
            <w:shd w:val="clear" w:color="auto" w:fill="auto"/>
            <w:noWrap/>
            <w:vAlign w:val="center"/>
          </w:tcPr>
          <w:p w14:paraId="02A976A0" w14:textId="0C856B52" w:rsidR="00330AB1" w:rsidRPr="00D1793C" w:rsidRDefault="00BB7EDF" w:rsidP="00330AB1">
            <w:pPr>
              <w:rPr>
                <w:sz w:val="20"/>
                <w:szCs w:val="20"/>
                <w:lang w:val="en-US"/>
              </w:rPr>
            </w:pPr>
            <w:hyperlink w:anchor="Poland" w:history="1">
              <w:r w:rsidR="00330AB1" w:rsidRPr="00D1793C">
                <w:rPr>
                  <w:rStyle w:val="Hyperlink"/>
                  <w:sz w:val="20"/>
                  <w:szCs w:val="20"/>
                </w:rPr>
                <w:t>Poland</w:t>
              </w:r>
            </w:hyperlink>
          </w:p>
        </w:tc>
        <w:tc>
          <w:tcPr>
            <w:tcW w:w="1984" w:type="dxa"/>
            <w:tcBorders>
              <w:top w:val="nil"/>
              <w:left w:val="nil"/>
              <w:bottom w:val="nil"/>
              <w:right w:val="nil"/>
            </w:tcBorders>
            <w:shd w:val="clear" w:color="auto" w:fill="auto"/>
            <w:noWrap/>
            <w:vAlign w:val="center"/>
          </w:tcPr>
          <w:p w14:paraId="3A38975D" w14:textId="6109C024" w:rsidR="00330AB1" w:rsidRPr="00D1793C" w:rsidRDefault="00330AB1" w:rsidP="00330AB1">
            <w:pPr>
              <w:rPr>
                <w:sz w:val="20"/>
                <w:szCs w:val="20"/>
                <w:lang w:val="en-US"/>
              </w:rPr>
            </w:pPr>
          </w:p>
        </w:tc>
      </w:tr>
      <w:tr w:rsidR="00330AB1" w:rsidRPr="00D1793C" w14:paraId="7A66C8AF" w14:textId="77777777" w:rsidTr="005B3551">
        <w:trPr>
          <w:trHeight w:val="57"/>
        </w:trPr>
        <w:tc>
          <w:tcPr>
            <w:tcW w:w="2665" w:type="dxa"/>
            <w:tcBorders>
              <w:top w:val="nil"/>
              <w:left w:val="nil"/>
              <w:bottom w:val="nil"/>
              <w:right w:val="nil"/>
            </w:tcBorders>
            <w:shd w:val="clear" w:color="auto" w:fill="auto"/>
            <w:noWrap/>
            <w:vAlign w:val="center"/>
          </w:tcPr>
          <w:p w14:paraId="165FE2A1" w14:textId="33A2A6F3" w:rsidR="00330AB1" w:rsidRPr="00D1793C" w:rsidRDefault="00BB7EDF" w:rsidP="00330AB1">
            <w:pPr>
              <w:rPr>
                <w:sz w:val="20"/>
                <w:szCs w:val="20"/>
                <w:lang w:val="en-US"/>
              </w:rPr>
            </w:pPr>
            <w:hyperlink w:anchor="Colombia" w:history="1">
              <w:r w:rsidR="00330AB1" w:rsidRPr="00D1793C">
                <w:rPr>
                  <w:rStyle w:val="Hyperlink"/>
                  <w:sz w:val="20"/>
                  <w:szCs w:val="20"/>
                  <w:lang w:val="en-US"/>
                </w:rPr>
                <w:t>Colombia</w:t>
              </w:r>
            </w:hyperlink>
          </w:p>
        </w:tc>
        <w:tc>
          <w:tcPr>
            <w:tcW w:w="1984" w:type="dxa"/>
            <w:tcBorders>
              <w:top w:val="nil"/>
              <w:left w:val="nil"/>
              <w:bottom w:val="nil"/>
              <w:right w:val="nil"/>
            </w:tcBorders>
            <w:shd w:val="clear" w:color="auto" w:fill="auto"/>
            <w:noWrap/>
            <w:vAlign w:val="center"/>
          </w:tcPr>
          <w:p w14:paraId="7785EDBC" w14:textId="2560CA83" w:rsidR="00330AB1" w:rsidRPr="00D1793C" w:rsidRDefault="00BB7EDF" w:rsidP="00330AB1">
            <w:pPr>
              <w:rPr>
                <w:sz w:val="20"/>
                <w:szCs w:val="20"/>
                <w:lang w:val="en-US"/>
              </w:rPr>
            </w:pPr>
            <w:hyperlink w:anchor="Italy" w:history="1">
              <w:r w:rsidR="00330AB1" w:rsidRPr="00D1793C">
                <w:rPr>
                  <w:rStyle w:val="Hyperlink"/>
                  <w:sz w:val="20"/>
                  <w:szCs w:val="20"/>
                  <w:lang w:val="en-US"/>
                </w:rPr>
                <w:t>Italy</w:t>
              </w:r>
            </w:hyperlink>
          </w:p>
        </w:tc>
        <w:tc>
          <w:tcPr>
            <w:tcW w:w="1984" w:type="dxa"/>
            <w:tcBorders>
              <w:top w:val="nil"/>
              <w:left w:val="nil"/>
              <w:bottom w:val="nil"/>
              <w:right w:val="nil"/>
            </w:tcBorders>
            <w:shd w:val="clear" w:color="auto" w:fill="auto"/>
            <w:noWrap/>
            <w:vAlign w:val="center"/>
          </w:tcPr>
          <w:p w14:paraId="67FE4ECA" w14:textId="5174ED69" w:rsidR="00330AB1" w:rsidRPr="00D1793C" w:rsidRDefault="00BB7EDF" w:rsidP="00330AB1">
            <w:pPr>
              <w:rPr>
                <w:sz w:val="20"/>
                <w:szCs w:val="20"/>
                <w:lang w:val="en-US"/>
              </w:rPr>
            </w:pPr>
            <w:hyperlink w:anchor="Russia" w:history="1">
              <w:r w:rsidR="00330AB1" w:rsidRPr="00D1793C">
                <w:rPr>
                  <w:rStyle w:val="Hyperlink"/>
                  <w:sz w:val="20"/>
                  <w:szCs w:val="20"/>
                  <w:lang w:val="en-US"/>
                </w:rPr>
                <w:t>Russia</w:t>
              </w:r>
            </w:hyperlink>
          </w:p>
        </w:tc>
        <w:tc>
          <w:tcPr>
            <w:tcW w:w="1984" w:type="dxa"/>
            <w:tcBorders>
              <w:top w:val="nil"/>
              <w:left w:val="nil"/>
              <w:bottom w:val="nil"/>
              <w:right w:val="nil"/>
            </w:tcBorders>
            <w:shd w:val="clear" w:color="auto" w:fill="auto"/>
            <w:noWrap/>
            <w:vAlign w:val="center"/>
          </w:tcPr>
          <w:p w14:paraId="22218136" w14:textId="17631654" w:rsidR="00330AB1" w:rsidRPr="00D1793C" w:rsidRDefault="00330AB1" w:rsidP="00330AB1">
            <w:pPr>
              <w:rPr>
                <w:sz w:val="20"/>
                <w:szCs w:val="20"/>
                <w:lang w:val="en-US"/>
              </w:rPr>
            </w:pPr>
          </w:p>
        </w:tc>
      </w:tr>
    </w:tbl>
    <w:p w14:paraId="735AE3F2" w14:textId="77777777" w:rsidR="0013205E" w:rsidRDefault="0013205E" w:rsidP="00662B40">
      <w:pPr>
        <w:jc w:val="both"/>
        <w:rPr>
          <w:b/>
          <w:bCs/>
          <w:lang w:val="en-US"/>
        </w:rPr>
      </w:pPr>
      <w:bookmarkStart w:id="0" w:name="Australia"/>
      <w:bookmarkEnd w:id="0"/>
    </w:p>
    <w:p w14:paraId="1C7A4527" w14:textId="6904AC82" w:rsidR="00662B40" w:rsidRPr="00662B40" w:rsidRDefault="00662B40" w:rsidP="00662B40">
      <w:pPr>
        <w:jc w:val="both"/>
        <w:rPr>
          <w:b/>
          <w:bCs/>
          <w:lang w:val="en-US"/>
        </w:rPr>
      </w:pPr>
      <w:r w:rsidRPr="00662B40">
        <w:rPr>
          <w:b/>
          <w:bCs/>
          <w:lang w:val="en-US"/>
        </w:rPr>
        <w:t>Australia</w:t>
      </w:r>
    </w:p>
    <w:p w14:paraId="7318D535" w14:textId="0F57202E" w:rsidR="00662B40" w:rsidRPr="00662B40" w:rsidRDefault="00662B40" w:rsidP="00662B40">
      <w:pPr>
        <w:jc w:val="both"/>
        <w:rPr>
          <w:lang w:val="en-US"/>
        </w:rPr>
      </w:pPr>
      <w:r w:rsidRPr="00662B40">
        <w:rPr>
          <w:lang w:val="en-US"/>
        </w:rPr>
        <w:t xml:space="preserve">Up to 2014, data refer to a split-year (1 July – 30 June) shown under the calendar year in which the split-year ends. </w:t>
      </w:r>
    </w:p>
    <w:p w14:paraId="4EABA9A5" w14:textId="77777777" w:rsidR="00662B40" w:rsidRPr="00662B40" w:rsidRDefault="00662B40" w:rsidP="00662B40">
      <w:pPr>
        <w:jc w:val="both"/>
        <w:rPr>
          <w:b/>
          <w:bCs/>
          <w:lang w:val="en-US"/>
        </w:rPr>
      </w:pPr>
      <w:bookmarkStart w:id="1" w:name="Austria"/>
      <w:bookmarkEnd w:id="1"/>
      <w:r w:rsidRPr="00662B40">
        <w:rPr>
          <w:b/>
          <w:bCs/>
          <w:lang w:val="en-US"/>
        </w:rPr>
        <w:t>Austria</w:t>
      </w:r>
    </w:p>
    <w:p w14:paraId="1AB834A3" w14:textId="19BBA4BD" w:rsidR="00662B40" w:rsidRPr="00662B40" w:rsidRDefault="00662B40" w:rsidP="00662B40">
      <w:pPr>
        <w:jc w:val="both"/>
        <w:rPr>
          <w:lang w:val="en-US"/>
        </w:rPr>
      </w:pPr>
      <w:r w:rsidRPr="00662B40">
        <w:rPr>
          <w:lang w:val="en-US"/>
        </w:rPr>
        <w:t>Data exclude recreational fisheries.</w:t>
      </w:r>
    </w:p>
    <w:p w14:paraId="256908B9" w14:textId="77777777" w:rsidR="00662B40" w:rsidRPr="00662B40" w:rsidRDefault="00662B40" w:rsidP="00662B40">
      <w:pPr>
        <w:jc w:val="both"/>
        <w:rPr>
          <w:b/>
          <w:bCs/>
          <w:lang w:val="en-US"/>
        </w:rPr>
      </w:pPr>
      <w:r w:rsidRPr="00662B40">
        <w:rPr>
          <w:b/>
          <w:bCs/>
          <w:lang w:val="en-US"/>
        </w:rPr>
        <w:t>Brazil</w:t>
      </w:r>
    </w:p>
    <w:p w14:paraId="27C817B9" w14:textId="2A98079E" w:rsidR="00662B40" w:rsidRPr="00662B40" w:rsidRDefault="00662B40" w:rsidP="00662B40">
      <w:pPr>
        <w:jc w:val="both"/>
        <w:rPr>
          <w:lang w:val="en-US"/>
        </w:rPr>
      </w:pPr>
      <w:r w:rsidRPr="00662B40">
        <w:rPr>
          <w:lang w:val="en-US"/>
        </w:rPr>
        <w:t xml:space="preserve">Official data have not been reported to FAO for the period 2014-2019, while for 2020 and 2021 only partial catches were reported to FAO, which were considered highly incomplete. As a result, FAO continues to estimate total production quantities based on the limited data available. </w:t>
      </w:r>
    </w:p>
    <w:p w14:paraId="5F5F5FA7" w14:textId="77777777" w:rsidR="00662B40" w:rsidRPr="00662B40" w:rsidRDefault="00662B40" w:rsidP="00662B40">
      <w:pPr>
        <w:jc w:val="both"/>
        <w:rPr>
          <w:b/>
          <w:bCs/>
          <w:lang w:val="en-US"/>
        </w:rPr>
      </w:pPr>
      <w:bookmarkStart w:id="2" w:name="Canada"/>
      <w:bookmarkEnd w:id="2"/>
      <w:r w:rsidRPr="00662B40">
        <w:rPr>
          <w:b/>
          <w:bCs/>
          <w:lang w:val="en-US"/>
        </w:rPr>
        <w:t>Canada</w:t>
      </w:r>
    </w:p>
    <w:p w14:paraId="4242EB20" w14:textId="49807042" w:rsidR="00662B40" w:rsidRPr="00662B40" w:rsidRDefault="00662B40" w:rsidP="00662B40">
      <w:pPr>
        <w:jc w:val="both"/>
        <w:rPr>
          <w:lang w:val="en-US"/>
        </w:rPr>
      </w:pPr>
      <w:r w:rsidRPr="00662B40">
        <w:rPr>
          <w:lang w:val="en-US"/>
        </w:rPr>
        <w:t xml:space="preserve">Official catches from 2018 have been reported to FAO in line with publicly available information released by the Department of Fisheries and Ocean Canada (DFO). As a result, catches previously available by species have been reported in aggregated form (e.g., Flatfishes nei, Pacific salmons nei, Clams, etc., nei). </w:t>
      </w:r>
    </w:p>
    <w:p w14:paraId="45C7E5A3" w14:textId="51CAFDDF" w:rsidR="00662B40" w:rsidRPr="00662B40" w:rsidRDefault="00D1793C" w:rsidP="00662B40">
      <w:pPr>
        <w:jc w:val="both"/>
        <w:rPr>
          <w:b/>
          <w:bCs/>
          <w:lang w:val="en-US"/>
        </w:rPr>
      </w:pPr>
      <w:bookmarkStart w:id="3" w:name="China"/>
      <w:bookmarkEnd w:id="3"/>
      <w:r>
        <w:rPr>
          <w:b/>
          <w:bCs/>
          <w:lang w:val="en-US"/>
        </w:rPr>
        <w:t>China (People’s Republic of)</w:t>
      </w:r>
    </w:p>
    <w:p w14:paraId="4B78109A" w14:textId="5C5956EF" w:rsidR="00662B40" w:rsidRDefault="00662B40" w:rsidP="00662B40">
      <w:pPr>
        <w:jc w:val="both"/>
        <w:rPr>
          <w:lang w:val="en-US"/>
        </w:rPr>
      </w:pPr>
      <w:r w:rsidRPr="00662B40">
        <w:rPr>
          <w:lang w:val="en-US"/>
        </w:rPr>
        <w:t xml:space="preserve">For statistical purposes, the data for China </w:t>
      </w:r>
      <w:r w:rsidR="00CF68FC" w:rsidRPr="00CF68FC">
        <w:rPr>
          <w:lang w:val="en-US"/>
        </w:rPr>
        <w:t xml:space="preserve">(People’s Republic of) (hereafter ‘China’) </w:t>
      </w:r>
      <w:r w:rsidRPr="00662B40">
        <w:rPr>
          <w:lang w:val="en-US"/>
        </w:rPr>
        <w:t>do not include Hong Kong Special Administrative Region (Hong Kong SAR), Macao SAR and Taiwan Province of China.</w:t>
      </w:r>
    </w:p>
    <w:p w14:paraId="216C3A57" w14:textId="77777777" w:rsidR="00662B40" w:rsidRDefault="00662B40" w:rsidP="00662B40">
      <w:pPr>
        <w:jc w:val="both"/>
        <w:rPr>
          <w:lang w:val="en-US"/>
        </w:rPr>
      </w:pPr>
      <w:r w:rsidRPr="00662B40">
        <w:rPr>
          <w:lang w:val="en-US"/>
        </w:rPr>
        <w:t xml:space="preserve">In recent years the catch data for 1997-2005 have been revised, </w:t>
      </w:r>
      <w:proofErr w:type="gramStart"/>
      <w:r w:rsidRPr="00662B40">
        <w:rPr>
          <w:lang w:val="en-US"/>
        </w:rPr>
        <w:t>on the basis of</w:t>
      </w:r>
      <w:proofErr w:type="gramEnd"/>
      <w:r w:rsidRPr="00662B40">
        <w:rPr>
          <w:lang w:val="en-US"/>
        </w:rPr>
        <w:t xml:space="preserve"> official reports by the Chinese authorities of a reduction in fisheries production of around 10 percent in 2006 by the Second National Agriculture Census conducted in 2007. China’s statistics for 1997–2005 were subsequently adjusted downwards, in line with the revised data for 2006. </w:t>
      </w:r>
    </w:p>
    <w:p w14:paraId="33486783" w14:textId="77777777" w:rsidR="00662B40" w:rsidRDefault="00662B40" w:rsidP="00662B40">
      <w:pPr>
        <w:jc w:val="both"/>
        <w:rPr>
          <w:lang w:val="en-US"/>
        </w:rPr>
      </w:pPr>
      <w:r w:rsidRPr="00662B40">
        <w:rPr>
          <w:lang w:val="en-US"/>
        </w:rPr>
        <w:t xml:space="preserve">The Chinese authorities similarly revised catches downwards for the period 2012-2016, based on the results of the Third National Agriculture Census conducted in 2016. For the 2016 reference year, catches were revised at individual species level (with an overall reduction of total capture production of around 10 percent), while catches for 2012-2015 were adjusted down at an </w:t>
      </w:r>
      <w:r w:rsidRPr="00662B40">
        <w:rPr>
          <w:lang w:val="en-US"/>
        </w:rPr>
        <w:lastRenderedPageBreak/>
        <w:t>aggregated level. Revisions to the catches by species for 2012-2015 were then implemented by FAO.</w:t>
      </w:r>
    </w:p>
    <w:p w14:paraId="5996F58E" w14:textId="77777777" w:rsidR="00662B40" w:rsidRDefault="00662B40" w:rsidP="00662B40">
      <w:pPr>
        <w:jc w:val="both"/>
        <w:rPr>
          <w:lang w:val="en-US"/>
        </w:rPr>
      </w:pPr>
      <w:r w:rsidRPr="00662B40">
        <w:rPr>
          <w:lang w:val="en-US"/>
        </w:rPr>
        <w:t>Following the same rationale, and in consultation with China, FAO subsequently revised its historical statistics for China for the period 2009–2011 to better reflect the overall development of China’s fisheries production and avoid a major break in the overall catch series and trends.</w:t>
      </w:r>
    </w:p>
    <w:p w14:paraId="1C42F914" w14:textId="7BB7E9F2" w:rsidR="00662B40" w:rsidRPr="00662B40" w:rsidRDefault="00662B40" w:rsidP="00662B40">
      <w:pPr>
        <w:jc w:val="both"/>
        <w:rPr>
          <w:lang w:val="en-US"/>
        </w:rPr>
      </w:pPr>
      <w:r w:rsidRPr="00662B40">
        <w:rPr>
          <w:lang w:val="en-US"/>
        </w:rPr>
        <w:t xml:space="preserve">Data for 'Aquatic plants nei', recorded on a dry-weight basis have been converted to wet-weight equivalents by using the conversion factor 10. </w:t>
      </w:r>
    </w:p>
    <w:p w14:paraId="384D0C96" w14:textId="77777777" w:rsidR="00662B40" w:rsidRPr="00662B40" w:rsidRDefault="00662B40" w:rsidP="00662B40">
      <w:pPr>
        <w:jc w:val="both"/>
        <w:rPr>
          <w:b/>
          <w:bCs/>
          <w:lang w:val="en-US"/>
        </w:rPr>
      </w:pPr>
      <w:bookmarkStart w:id="4" w:name="Colombia"/>
      <w:bookmarkEnd w:id="4"/>
      <w:r w:rsidRPr="00662B40">
        <w:rPr>
          <w:b/>
          <w:bCs/>
          <w:lang w:val="en-US"/>
        </w:rPr>
        <w:t>Colombia</w:t>
      </w:r>
    </w:p>
    <w:p w14:paraId="505A2E8F" w14:textId="20C1725D" w:rsidR="00662B40" w:rsidRPr="00662B40" w:rsidRDefault="00662B40" w:rsidP="00662B40">
      <w:pPr>
        <w:jc w:val="both"/>
        <w:rPr>
          <w:lang w:val="en-US"/>
        </w:rPr>
      </w:pPr>
      <w:r w:rsidRPr="00662B40">
        <w:rPr>
          <w:lang w:val="en-US"/>
        </w:rPr>
        <w:t xml:space="preserve">Due to the introduction of a new data collection system, catch statistics since 2016 are not fully comparable with those of previous years. </w:t>
      </w:r>
    </w:p>
    <w:p w14:paraId="40A1B477" w14:textId="77777777" w:rsidR="00662B40" w:rsidRPr="00662B40" w:rsidRDefault="00662B40" w:rsidP="00662B40">
      <w:pPr>
        <w:jc w:val="both"/>
        <w:rPr>
          <w:b/>
          <w:bCs/>
          <w:lang w:val="en-US"/>
        </w:rPr>
      </w:pPr>
      <w:bookmarkStart w:id="5" w:name="Croatia"/>
      <w:bookmarkEnd w:id="5"/>
      <w:r w:rsidRPr="00662B40">
        <w:rPr>
          <w:b/>
          <w:bCs/>
          <w:lang w:val="en-US"/>
        </w:rPr>
        <w:t>Croatia</w:t>
      </w:r>
    </w:p>
    <w:p w14:paraId="2EB909EE" w14:textId="7EE8B62C" w:rsidR="00662B40" w:rsidRPr="00662B40" w:rsidRDefault="00662B40" w:rsidP="00662B40">
      <w:pPr>
        <w:jc w:val="both"/>
        <w:rPr>
          <w:lang w:val="en-US"/>
        </w:rPr>
      </w:pPr>
      <w:r w:rsidRPr="00662B40">
        <w:rPr>
          <w:lang w:val="en-US"/>
        </w:rPr>
        <w:t xml:space="preserve">Catches in inland waters decreased between 1998 and 2008 as statistics on recreational fishery were not collected in those years. </w:t>
      </w:r>
    </w:p>
    <w:p w14:paraId="6DCA8513" w14:textId="77777777" w:rsidR="00662B40" w:rsidRPr="00662B40" w:rsidRDefault="00662B40" w:rsidP="00662B40">
      <w:pPr>
        <w:jc w:val="both"/>
        <w:rPr>
          <w:b/>
          <w:bCs/>
          <w:lang w:val="en-US"/>
        </w:rPr>
      </w:pPr>
      <w:bookmarkStart w:id="6" w:name="Germany"/>
      <w:bookmarkEnd w:id="6"/>
      <w:r w:rsidRPr="00662B40">
        <w:rPr>
          <w:b/>
          <w:bCs/>
          <w:lang w:val="en-US"/>
        </w:rPr>
        <w:t>Germany</w:t>
      </w:r>
    </w:p>
    <w:p w14:paraId="0BBEAB1B" w14:textId="16950416" w:rsidR="00662B40" w:rsidRPr="00662B40" w:rsidRDefault="00662B40" w:rsidP="00662B40">
      <w:pPr>
        <w:jc w:val="both"/>
        <w:rPr>
          <w:lang w:val="en-US"/>
        </w:rPr>
      </w:pPr>
      <w:r w:rsidRPr="00662B40">
        <w:rPr>
          <w:lang w:val="en-US"/>
        </w:rPr>
        <w:t xml:space="preserve">Estimate of total recreational catch in inland waters (18 800 tonnes) provided in 1997 by national authorities was replaced in 2011 by a new official estimate (approximately 13 000 tonnes) and data of 'Freshwater fishes nei' for previous years were revised accordingly. </w:t>
      </w:r>
    </w:p>
    <w:p w14:paraId="3A340279" w14:textId="77777777" w:rsidR="00662B40" w:rsidRPr="00662B40" w:rsidRDefault="00662B40" w:rsidP="00662B40">
      <w:pPr>
        <w:jc w:val="both"/>
        <w:rPr>
          <w:b/>
          <w:bCs/>
          <w:lang w:val="en-US"/>
        </w:rPr>
      </w:pPr>
      <w:bookmarkStart w:id="7" w:name="Greece"/>
      <w:r w:rsidRPr="00662B40">
        <w:rPr>
          <w:b/>
          <w:bCs/>
          <w:lang w:val="en-US"/>
        </w:rPr>
        <w:t>Greece</w:t>
      </w:r>
    </w:p>
    <w:bookmarkEnd w:id="7"/>
    <w:p w14:paraId="2CB6F4C4" w14:textId="0D6015E1" w:rsidR="00662B40" w:rsidRPr="00662B40" w:rsidRDefault="00662B40" w:rsidP="00662B40">
      <w:pPr>
        <w:jc w:val="both"/>
        <w:rPr>
          <w:lang w:val="en-US"/>
        </w:rPr>
      </w:pPr>
      <w:r w:rsidRPr="00662B40">
        <w:rPr>
          <w:lang w:val="en-US"/>
        </w:rPr>
        <w:t xml:space="preserve">Official catches for inland waters have not been reported since 2009, and instead are estimated by FAO. </w:t>
      </w:r>
    </w:p>
    <w:p w14:paraId="25FDF946" w14:textId="77777777" w:rsidR="00662B40" w:rsidRPr="00662B40" w:rsidRDefault="00662B40" w:rsidP="00662B40">
      <w:pPr>
        <w:jc w:val="both"/>
        <w:rPr>
          <w:b/>
          <w:bCs/>
          <w:lang w:val="en-US"/>
        </w:rPr>
      </w:pPr>
      <w:bookmarkStart w:id="8" w:name="Indonesia"/>
      <w:r w:rsidRPr="00662B40">
        <w:rPr>
          <w:b/>
          <w:bCs/>
          <w:lang w:val="en-US"/>
        </w:rPr>
        <w:t>Indonesia</w:t>
      </w:r>
    </w:p>
    <w:bookmarkEnd w:id="8"/>
    <w:p w14:paraId="01D8C166" w14:textId="784FBC76" w:rsidR="00662B40" w:rsidRPr="00662B40" w:rsidRDefault="00662B40" w:rsidP="00662B40">
      <w:pPr>
        <w:jc w:val="both"/>
        <w:rPr>
          <w:lang w:val="en-US"/>
        </w:rPr>
      </w:pPr>
      <w:r w:rsidRPr="00662B40">
        <w:rPr>
          <w:lang w:val="en-US"/>
        </w:rPr>
        <w:t xml:space="preserve">Indonesia launched the One Data Initiative in May 2016 to standardize the procedures for the collection, processing and open data access of fisheries and, </w:t>
      </w:r>
      <w:proofErr w:type="gramStart"/>
      <w:r w:rsidRPr="00662B40">
        <w:rPr>
          <w:lang w:val="en-US"/>
        </w:rPr>
        <w:t>as a consequence</w:t>
      </w:r>
      <w:proofErr w:type="gramEnd"/>
      <w:r w:rsidRPr="00662B40">
        <w:rPr>
          <w:lang w:val="en-US"/>
        </w:rPr>
        <w:t xml:space="preserve">, improve the quality of data. In the context of transition between two systems, catches have either been fully or partially estimated by FAO since 2017 to improve the reliability and consistency of catches in relation to the historical trends. A notable area of improvement, </w:t>
      </w:r>
      <w:proofErr w:type="gramStart"/>
      <w:r w:rsidRPr="00662B40">
        <w:rPr>
          <w:lang w:val="en-US"/>
        </w:rPr>
        <w:t>as a result of</w:t>
      </w:r>
      <w:proofErr w:type="gramEnd"/>
      <w:r w:rsidRPr="00662B40">
        <w:rPr>
          <w:lang w:val="en-US"/>
        </w:rPr>
        <w:t xml:space="preserve"> One Data, has been the availability of catches at species level. Over 150 new species have been reported for inland and marine waters since 2021, previously reported as either ‘Freshwater fishes nei’ or ‘Marine fishes nei’. Consequently, since 2021 catches in each of these two species aggregated categories have decreased substantially compared to previous years. </w:t>
      </w:r>
    </w:p>
    <w:p w14:paraId="0271EA81" w14:textId="77777777" w:rsidR="00662B40" w:rsidRPr="00662B40" w:rsidRDefault="00662B40" w:rsidP="00662B40">
      <w:pPr>
        <w:jc w:val="both"/>
        <w:rPr>
          <w:b/>
          <w:bCs/>
          <w:lang w:val="en-US"/>
        </w:rPr>
      </w:pPr>
      <w:bookmarkStart w:id="9" w:name="Ireland"/>
      <w:r w:rsidRPr="00662B40">
        <w:rPr>
          <w:b/>
          <w:bCs/>
          <w:lang w:val="en-US"/>
        </w:rPr>
        <w:t>Ireland</w:t>
      </w:r>
    </w:p>
    <w:bookmarkEnd w:id="9"/>
    <w:p w14:paraId="73801063" w14:textId="1B50B664" w:rsidR="00662B40" w:rsidRPr="00662B40" w:rsidRDefault="00662B40" w:rsidP="00662B40">
      <w:pPr>
        <w:jc w:val="both"/>
        <w:rPr>
          <w:lang w:val="en-US"/>
        </w:rPr>
      </w:pPr>
      <w:r w:rsidRPr="00662B40">
        <w:rPr>
          <w:lang w:val="en-US"/>
        </w:rPr>
        <w:t xml:space="preserve">Since 1999, catches in inland waters are no longer fully monitored. Data are collected only for 'European eel' (Anguilla anguilla), 'Atlantic salmon' (Salmo salar) and 'Sea trout' (Salmo trutta). </w:t>
      </w:r>
    </w:p>
    <w:p w14:paraId="542AA5BE" w14:textId="77777777" w:rsidR="00662B40" w:rsidRPr="00662B40" w:rsidRDefault="00662B40" w:rsidP="00662B40">
      <w:pPr>
        <w:jc w:val="both"/>
        <w:rPr>
          <w:b/>
          <w:bCs/>
          <w:lang w:val="en-US"/>
        </w:rPr>
      </w:pPr>
      <w:bookmarkStart w:id="10" w:name="Italy"/>
      <w:bookmarkEnd w:id="10"/>
      <w:r w:rsidRPr="00662B40">
        <w:rPr>
          <w:b/>
          <w:bCs/>
          <w:lang w:val="en-US"/>
        </w:rPr>
        <w:t>Italy</w:t>
      </w:r>
    </w:p>
    <w:p w14:paraId="130197DC" w14:textId="673E17F9" w:rsidR="00662B40" w:rsidRPr="00662B40" w:rsidRDefault="00662B40" w:rsidP="00662B40">
      <w:pPr>
        <w:jc w:val="both"/>
        <w:rPr>
          <w:lang w:val="en-US"/>
        </w:rPr>
      </w:pPr>
      <w:r w:rsidRPr="00662B40">
        <w:rPr>
          <w:lang w:val="en-US"/>
        </w:rPr>
        <w:t xml:space="preserve">Changes in the data collection system since 2005 resulted in improved species breakdown but also caused disruption in some data series. </w:t>
      </w:r>
    </w:p>
    <w:p w14:paraId="47DFE480" w14:textId="77777777" w:rsidR="00662B40" w:rsidRPr="00662B40" w:rsidRDefault="00662B40" w:rsidP="00662B40">
      <w:pPr>
        <w:jc w:val="both"/>
        <w:rPr>
          <w:b/>
          <w:bCs/>
          <w:lang w:val="en-US"/>
        </w:rPr>
      </w:pPr>
      <w:bookmarkStart w:id="11" w:name="Japan"/>
      <w:bookmarkEnd w:id="11"/>
      <w:r w:rsidRPr="00662B40">
        <w:rPr>
          <w:b/>
          <w:bCs/>
          <w:lang w:val="en-US"/>
        </w:rPr>
        <w:t>Japan</w:t>
      </w:r>
    </w:p>
    <w:p w14:paraId="3F2BA113" w14:textId="0325454A" w:rsidR="00662B40" w:rsidRPr="00662B40" w:rsidRDefault="00662B40" w:rsidP="00662B40">
      <w:pPr>
        <w:jc w:val="both"/>
        <w:rPr>
          <w:lang w:val="en-US"/>
        </w:rPr>
      </w:pPr>
      <w:r w:rsidRPr="00662B40">
        <w:rPr>
          <w:lang w:val="en-US"/>
        </w:rPr>
        <w:lastRenderedPageBreak/>
        <w:t xml:space="preserve">Since 2004 there has been a reduction in the number of rivers and lakes utilized for inland water </w:t>
      </w:r>
      <w:proofErr w:type="gramStart"/>
      <w:r w:rsidRPr="00662B40">
        <w:rPr>
          <w:lang w:val="en-US"/>
        </w:rPr>
        <w:t>catches;</w:t>
      </w:r>
      <w:proofErr w:type="gramEnd"/>
      <w:r w:rsidRPr="00662B40">
        <w:rPr>
          <w:lang w:val="en-US"/>
        </w:rPr>
        <w:t xml:space="preserve"> while the collection and reporting of recreational fisheries catches ended in 2006. </w:t>
      </w:r>
    </w:p>
    <w:p w14:paraId="0CBD41C7" w14:textId="77777777" w:rsidR="00662B40" w:rsidRPr="00662B40" w:rsidRDefault="00662B40" w:rsidP="00662B40">
      <w:pPr>
        <w:jc w:val="both"/>
        <w:rPr>
          <w:b/>
          <w:bCs/>
          <w:lang w:val="en-US"/>
        </w:rPr>
      </w:pPr>
      <w:bookmarkStart w:id="12" w:name="Lithuania"/>
      <w:bookmarkEnd w:id="12"/>
      <w:r w:rsidRPr="00662B40">
        <w:rPr>
          <w:b/>
          <w:bCs/>
          <w:lang w:val="en-US"/>
        </w:rPr>
        <w:t>Lithuania</w:t>
      </w:r>
    </w:p>
    <w:p w14:paraId="07CF1AB1" w14:textId="734DDA51" w:rsidR="00662B40" w:rsidRPr="00662B40" w:rsidRDefault="00662B40" w:rsidP="00662B40">
      <w:pPr>
        <w:jc w:val="both"/>
        <w:rPr>
          <w:lang w:val="en-US"/>
        </w:rPr>
      </w:pPr>
      <w:r w:rsidRPr="00662B40">
        <w:rPr>
          <w:lang w:val="en-US"/>
        </w:rPr>
        <w:t xml:space="preserve">In 2002, data for the Curronian lagoon have been reported as marine captures in area 27 (Northeast Atlantic) instead of area 05 (Europe – Inland waters) causing a displacement of catches between the two areas. </w:t>
      </w:r>
    </w:p>
    <w:p w14:paraId="7FF5C7FF" w14:textId="77777777" w:rsidR="00662B40" w:rsidRPr="00662B40" w:rsidRDefault="00662B40" w:rsidP="00662B40">
      <w:pPr>
        <w:jc w:val="both"/>
        <w:rPr>
          <w:b/>
          <w:bCs/>
          <w:lang w:val="en-US"/>
        </w:rPr>
      </w:pPr>
      <w:bookmarkStart w:id="13" w:name="Malaysia"/>
      <w:bookmarkEnd w:id="13"/>
      <w:r w:rsidRPr="00662B40">
        <w:rPr>
          <w:b/>
          <w:bCs/>
          <w:lang w:val="en-US"/>
        </w:rPr>
        <w:t>Malaysia</w:t>
      </w:r>
    </w:p>
    <w:p w14:paraId="2F3FA20A" w14:textId="53911595" w:rsidR="00662B40" w:rsidRPr="00662B40" w:rsidRDefault="00662B40" w:rsidP="00662B40">
      <w:pPr>
        <w:jc w:val="both"/>
        <w:rPr>
          <w:lang w:val="en-US"/>
        </w:rPr>
      </w:pPr>
      <w:r w:rsidRPr="00662B40">
        <w:rPr>
          <w:lang w:val="en-US"/>
        </w:rPr>
        <w:t xml:space="preserve">Includes Peninsular Malaysia, Sabah and Sarawak. </w:t>
      </w:r>
    </w:p>
    <w:p w14:paraId="7B14ADD5" w14:textId="77777777" w:rsidR="00662B40" w:rsidRPr="00662B40" w:rsidRDefault="00662B40" w:rsidP="00662B40">
      <w:pPr>
        <w:jc w:val="both"/>
        <w:rPr>
          <w:b/>
          <w:bCs/>
          <w:lang w:val="en-US"/>
        </w:rPr>
      </w:pPr>
      <w:bookmarkStart w:id="14" w:name="Mexico"/>
      <w:bookmarkEnd w:id="14"/>
      <w:r w:rsidRPr="00662B40">
        <w:rPr>
          <w:b/>
          <w:bCs/>
          <w:lang w:val="en-US"/>
        </w:rPr>
        <w:t>Mexico</w:t>
      </w:r>
    </w:p>
    <w:p w14:paraId="373813C7" w14:textId="13067DCC" w:rsidR="00662B40" w:rsidRPr="00662B40" w:rsidRDefault="00662B40" w:rsidP="00662B40">
      <w:pPr>
        <w:jc w:val="both"/>
        <w:rPr>
          <w:lang w:val="en-US"/>
        </w:rPr>
      </w:pPr>
      <w:r w:rsidRPr="00662B40">
        <w:rPr>
          <w:lang w:val="en-US"/>
        </w:rPr>
        <w:t xml:space="preserve">Data for 2019-2021 have been revised by Mexico, in line with 2022, increasing the level of detail available by species. </w:t>
      </w:r>
      <w:proofErr w:type="gramStart"/>
      <w:r w:rsidRPr="00662B40">
        <w:rPr>
          <w:lang w:val="en-US"/>
        </w:rPr>
        <w:t>As a consequence</w:t>
      </w:r>
      <w:proofErr w:type="gramEnd"/>
      <w:r w:rsidRPr="00662B40">
        <w:rPr>
          <w:lang w:val="en-US"/>
        </w:rPr>
        <w:t xml:space="preserve">, catches previously recorded in the FAO database for some species have been updated and, in some cases discontinued, according to the revised list of species reported to FAO by Mexico. Data prior to 2019, which may possibly include production derived from aquaculture activities, might be revised in future updates of this dataset. </w:t>
      </w:r>
    </w:p>
    <w:p w14:paraId="1F203BBE" w14:textId="77777777" w:rsidR="00662B40" w:rsidRPr="00662B40" w:rsidRDefault="00662B40" w:rsidP="00662B40">
      <w:pPr>
        <w:jc w:val="both"/>
        <w:rPr>
          <w:b/>
          <w:bCs/>
          <w:lang w:val="en-US"/>
        </w:rPr>
      </w:pPr>
      <w:bookmarkStart w:id="15" w:name="Poland"/>
      <w:bookmarkEnd w:id="15"/>
      <w:r w:rsidRPr="00662B40">
        <w:rPr>
          <w:b/>
          <w:bCs/>
          <w:lang w:val="en-US"/>
        </w:rPr>
        <w:t>Poland</w:t>
      </w:r>
    </w:p>
    <w:p w14:paraId="7D5B9155" w14:textId="635DC375" w:rsidR="00662B40" w:rsidRPr="00662B40" w:rsidRDefault="00662B40" w:rsidP="00662B40">
      <w:pPr>
        <w:jc w:val="both"/>
        <w:rPr>
          <w:lang w:val="en-US"/>
        </w:rPr>
      </w:pPr>
      <w:r w:rsidRPr="00662B40">
        <w:rPr>
          <w:lang w:val="en-US"/>
        </w:rPr>
        <w:t xml:space="preserve">An estimate of total recreational catches in inland waters (16 000 tonnes) has been added to 'Freshwater fishes nei' in recent years. </w:t>
      </w:r>
    </w:p>
    <w:p w14:paraId="59ECC778" w14:textId="77777777" w:rsidR="00662B40" w:rsidRPr="00662B40" w:rsidRDefault="00662B40" w:rsidP="00662B40">
      <w:pPr>
        <w:jc w:val="both"/>
        <w:rPr>
          <w:b/>
          <w:bCs/>
          <w:lang w:val="en-US"/>
        </w:rPr>
      </w:pPr>
      <w:bookmarkStart w:id="16" w:name="Russia"/>
      <w:bookmarkEnd w:id="16"/>
      <w:r w:rsidRPr="00662B40">
        <w:rPr>
          <w:b/>
          <w:bCs/>
          <w:lang w:val="en-US"/>
        </w:rPr>
        <w:t>Russia</w:t>
      </w:r>
    </w:p>
    <w:p w14:paraId="3CE35421" w14:textId="32A0B281" w:rsidR="00662B40" w:rsidRPr="00662B40" w:rsidRDefault="00662B40" w:rsidP="00662B40">
      <w:pPr>
        <w:jc w:val="both"/>
        <w:rPr>
          <w:lang w:val="en-US"/>
        </w:rPr>
      </w:pPr>
      <w:r w:rsidRPr="00662B40">
        <w:rPr>
          <w:lang w:val="en-US"/>
        </w:rPr>
        <w:t xml:space="preserve">Production data for the last few years might include those for the Autonomous Republic of Crimea and the city of Sevastopol, Ukraine, temporarily occupied by the Russian Federation. </w:t>
      </w:r>
    </w:p>
    <w:p w14:paraId="6BD07359" w14:textId="77777777" w:rsidR="00662B40" w:rsidRPr="00662B40" w:rsidRDefault="00662B40" w:rsidP="00662B40">
      <w:pPr>
        <w:jc w:val="both"/>
        <w:rPr>
          <w:b/>
          <w:bCs/>
          <w:lang w:val="en-US"/>
        </w:rPr>
      </w:pPr>
      <w:bookmarkStart w:id="17" w:name="Spain"/>
      <w:bookmarkEnd w:id="17"/>
      <w:r w:rsidRPr="00662B40">
        <w:rPr>
          <w:b/>
          <w:bCs/>
          <w:lang w:val="en-US"/>
        </w:rPr>
        <w:t>Spain</w:t>
      </w:r>
    </w:p>
    <w:p w14:paraId="781F3F57" w14:textId="6BAD20CE" w:rsidR="00662B40" w:rsidRPr="00662B40" w:rsidRDefault="00662B40" w:rsidP="00662B40">
      <w:pPr>
        <w:jc w:val="both"/>
        <w:rPr>
          <w:lang w:val="en-US"/>
        </w:rPr>
      </w:pPr>
      <w:r w:rsidRPr="00662B40">
        <w:rPr>
          <w:lang w:val="en-US"/>
        </w:rPr>
        <w:t xml:space="preserve">Capture production in inland waters for the period 2006-2021, previously estimated by FAO, have been revised </w:t>
      </w:r>
      <w:proofErr w:type="gramStart"/>
      <w:r w:rsidRPr="00662B40">
        <w:rPr>
          <w:lang w:val="en-US"/>
        </w:rPr>
        <w:t>on the basis of</w:t>
      </w:r>
      <w:proofErr w:type="gramEnd"/>
      <w:r w:rsidRPr="00662B40">
        <w:rPr>
          <w:lang w:val="en-US"/>
        </w:rPr>
        <w:t xml:space="preserve"> information published in the "Anuarios de Estadística Forestal" by the responsible Ministry. </w:t>
      </w:r>
    </w:p>
    <w:p w14:paraId="31E306BB" w14:textId="77777777" w:rsidR="00662B40" w:rsidRPr="00662B40" w:rsidRDefault="00662B40" w:rsidP="00662B40">
      <w:pPr>
        <w:jc w:val="both"/>
        <w:rPr>
          <w:b/>
          <w:bCs/>
          <w:lang w:val="en-US"/>
        </w:rPr>
      </w:pPr>
      <w:bookmarkStart w:id="18" w:name="Sweden"/>
      <w:bookmarkEnd w:id="18"/>
      <w:r w:rsidRPr="00662B40">
        <w:rPr>
          <w:b/>
          <w:bCs/>
          <w:lang w:val="en-US"/>
        </w:rPr>
        <w:t>Sweden</w:t>
      </w:r>
    </w:p>
    <w:p w14:paraId="61CDE623" w14:textId="36E6088E" w:rsidR="00662B40" w:rsidRPr="00662B40" w:rsidRDefault="00662B40" w:rsidP="00662B40">
      <w:pPr>
        <w:jc w:val="both"/>
        <w:rPr>
          <w:lang w:val="en-US"/>
        </w:rPr>
      </w:pPr>
      <w:r w:rsidRPr="00662B40">
        <w:rPr>
          <w:lang w:val="en-US"/>
        </w:rPr>
        <w:t>Increases in inland water catches since 2013 are due to the inclusion of official data on recreational fisheries. However, catches for this sector are considered highly uncertain by the Swedish Agency for Marine and Water Management, the national agency responsible for recreational fisheries.</w:t>
      </w:r>
    </w:p>
    <w:p w14:paraId="46788864" w14:textId="77777777" w:rsidR="00662B40" w:rsidRPr="00662B40" w:rsidRDefault="00662B40" w:rsidP="00662B40">
      <w:pPr>
        <w:jc w:val="both"/>
        <w:rPr>
          <w:b/>
          <w:bCs/>
          <w:lang w:val="en-US"/>
        </w:rPr>
      </w:pPr>
      <w:bookmarkStart w:id="19" w:name="UnitedKingdom"/>
      <w:bookmarkEnd w:id="19"/>
      <w:r w:rsidRPr="00662B40">
        <w:rPr>
          <w:b/>
          <w:bCs/>
          <w:lang w:val="en-US"/>
        </w:rPr>
        <w:t>United Kingdom</w:t>
      </w:r>
    </w:p>
    <w:p w14:paraId="3302BE88" w14:textId="6D85F0EC" w:rsidR="00662B40" w:rsidRPr="00662B40" w:rsidRDefault="00662B40" w:rsidP="00662B40">
      <w:pPr>
        <w:jc w:val="both"/>
        <w:rPr>
          <w:lang w:val="en-US"/>
        </w:rPr>
      </w:pPr>
      <w:r w:rsidRPr="00662B40">
        <w:rPr>
          <w:lang w:val="en-US"/>
        </w:rPr>
        <w:t xml:space="preserve">Data for England and Wales, Scotland and Northern Ireland have been combined. </w:t>
      </w:r>
    </w:p>
    <w:p w14:paraId="60FE7245" w14:textId="77777777" w:rsidR="00662B40" w:rsidRPr="00662B40" w:rsidRDefault="00662B40" w:rsidP="00662B40">
      <w:pPr>
        <w:jc w:val="both"/>
        <w:rPr>
          <w:b/>
          <w:bCs/>
          <w:lang w:val="en-US"/>
        </w:rPr>
      </w:pPr>
      <w:bookmarkStart w:id="20" w:name="UnitedStates"/>
      <w:bookmarkEnd w:id="20"/>
      <w:r w:rsidRPr="00662B40">
        <w:rPr>
          <w:b/>
          <w:bCs/>
          <w:lang w:val="en-US"/>
        </w:rPr>
        <w:t>United States</w:t>
      </w:r>
    </w:p>
    <w:p w14:paraId="1652D9B0" w14:textId="19154B82" w:rsidR="00C77DDB" w:rsidRPr="00662B40" w:rsidRDefault="00662B40" w:rsidP="00662B40">
      <w:pPr>
        <w:jc w:val="both"/>
        <w:rPr>
          <w:lang w:val="en-US"/>
        </w:rPr>
      </w:pPr>
      <w:r w:rsidRPr="00662B40">
        <w:rPr>
          <w:lang w:val="en-US"/>
        </w:rPr>
        <w:t xml:space="preserve">Capture data for recreational fisheries are not included. due to issues with reliability of catches available for this sector. Hence, marine and inland water catches are likely to be underestimated by excluding recreational fisheries. Since 2018, catches for the Great Lakes have not been received, again resulting in the underestimation of total inland water catches. Catches of freshwater species reported by national reporting office as occurring in marine waters have been assigned to inland waters in the FAO data. Catches for 2012-2021 have been revised </w:t>
      </w:r>
      <w:proofErr w:type="gramStart"/>
      <w:r w:rsidRPr="00662B40">
        <w:rPr>
          <w:lang w:val="en-US"/>
        </w:rPr>
        <w:t xml:space="preserve">on the basis </w:t>
      </w:r>
      <w:r w:rsidRPr="00662B40">
        <w:rPr>
          <w:lang w:val="en-US"/>
        </w:rPr>
        <w:lastRenderedPageBreak/>
        <w:t>of</w:t>
      </w:r>
      <w:proofErr w:type="gramEnd"/>
      <w:r w:rsidRPr="00662B40">
        <w:rPr>
          <w:lang w:val="en-US"/>
        </w:rPr>
        <w:t xml:space="preserve"> new information provided by the U.S. National Oceanic and Atmospheric Administration (NOAA). This includes catches previously available at species level which are now considered confidential and have instead been reported under the generic species group of freshwater fishes nei and marine fishes nei (Actinopterygii).</w:t>
      </w:r>
    </w:p>
    <w:sectPr w:rsidR="00C77DDB" w:rsidRPr="00662B40">
      <w:footerReference w:type="even" r:id="rId6"/>
      <w:footerReference w:type="default" r:id="rId7"/>
      <w:footerReference w:type="firs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0A6A3" w14:textId="77777777" w:rsidR="00290883" w:rsidRDefault="00290883" w:rsidP="00290883">
      <w:pPr>
        <w:spacing w:after="0" w:line="240" w:lineRule="auto"/>
      </w:pPr>
      <w:r>
        <w:separator/>
      </w:r>
    </w:p>
  </w:endnote>
  <w:endnote w:type="continuationSeparator" w:id="0">
    <w:p w14:paraId="61B93795" w14:textId="77777777" w:rsidR="00290883" w:rsidRDefault="00290883" w:rsidP="002908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3A400" w14:textId="670C8C58" w:rsidR="00290883" w:rsidRDefault="00290883">
    <w:pPr>
      <w:pStyle w:val="Footer"/>
    </w:pPr>
    <w:r>
      <w:rPr>
        <w:noProof/>
      </w:rPr>
      <mc:AlternateContent>
        <mc:Choice Requires="wps">
          <w:drawing>
            <wp:anchor distT="0" distB="0" distL="0" distR="0" simplePos="0" relativeHeight="251659264" behindDoc="0" locked="0" layoutInCell="1" allowOverlap="1" wp14:anchorId="6770FEE8" wp14:editId="3CFB089C">
              <wp:simplePos x="635" y="635"/>
              <wp:positionH relativeFrom="page">
                <wp:align>center</wp:align>
              </wp:positionH>
              <wp:positionV relativeFrom="page">
                <wp:align>bottom</wp:align>
              </wp:positionV>
              <wp:extent cx="1720215" cy="357505"/>
              <wp:effectExtent l="0" t="0" r="13335" b="0"/>
              <wp:wrapNone/>
              <wp:docPr id="1187706898" name="Text Box 2" descr="Restricted Use - À usage restrei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20215" cy="357505"/>
                      </a:xfrm>
                      <a:prstGeom prst="rect">
                        <a:avLst/>
                      </a:prstGeom>
                      <a:noFill/>
                      <a:ln>
                        <a:noFill/>
                      </a:ln>
                    </wps:spPr>
                    <wps:txbx>
                      <w:txbxContent>
                        <w:p w14:paraId="7D656491" w14:textId="35D00A4F" w:rsidR="00290883" w:rsidRPr="00290883" w:rsidRDefault="00290883" w:rsidP="00290883">
                          <w:pPr>
                            <w:spacing w:after="0"/>
                            <w:rPr>
                              <w:rFonts w:ascii="Calibri" w:eastAsia="Calibri" w:hAnsi="Calibri" w:cs="Calibri"/>
                              <w:noProof/>
                              <w:color w:val="0000FF"/>
                              <w:sz w:val="20"/>
                              <w:szCs w:val="20"/>
                            </w:rPr>
                          </w:pPr>
                          <w:r w:rsidRPr="00290883">
                            <w:rPr>
                              <w:rFonts w:ascii="Calibri" w:eastAsia="Calibri" w:hAnsi="Calibri" w:cs="Calibri"/>
                              <w:noProof/>
                              <w:color w:val="0000FF"/>
                              <w:sz w:val="20"/>
                              <w:szCs w:val="20"/>
                            </w:rPr>
                            <w:t>Restricted Use - À usage restreint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770FEE8" id="_x0000_t202" coordsize="21600,21600" o:spt="202" path="m,l,21600r21600,l21600,xe">
              <v:stroke joinstyle="miter"/>
              <v:path gradientshapeok="t" o:connecttype="rect"/>
            </v:shapetype>
            <v:shape id="Text Box 2" o:spid="_x0000_s1026" type="#_x0000_t202" alt="Restricted Use - À usage restreint" style="position:absolute;margin-left:0;margin-top:0;width:135.45pt;height:28.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" filled="f" stroked="f">
              <v:textbox style="mso-fit-shape-to-text:t" inset="0,0,0,15pt">
                <w:txbxContent>
                  <w:p w14:paraId="7D656491" w14:textId="35D00A4F" w:rsidR="00290883" w:rsidRPr="00290883" w:rsidRDefault="00290883" w:rsidP="00290883">
                    <w:pPr>
                      <w:spacing w:after="0"/>
                      <w:rPr>
                        <w:rFonts w:ascii="Calibri" w:eastAsia="Calibri" w:hAnsi="Calibri" w:cs="Calibri"/>
                        <w:noProof/>
                        <w:color w:val="0000FF"/>
                        <w:sz w:val="20"/>
                        <w:szCs w:val="20"/>
                      </w:rPr>
                    </w:pPr>
                    <w:r w:rsidRPr="00290883">
                      <w:rPr>
                        <w:rFonts w:ascii="Calibri" w:eastAsia="Calibri" w:hAnsi="Calibri" w:cs="Calibri"/>
                        <w:noProof/>
                        <w:color w:val="0000FF"/>
                        <w:sz w:val="20"/>
                        <w:szCs w:val="20"/>
                      </w:rPr>
                      <w:t>Restricted Use - À usage restreint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AE844" w14:textId="05A7901C" w:rsidR="00290883" w:rsidRDefault="00290883">
    <w:pPr>
      <w:pStyle w:val="Footer"/>
    </w:pPr>
    <w:r>
      <w:rPr>
        <w:noProof/>
      </w:rPr>
      <mc:AlternateContent>
        <mc:Choice Requires="wps">
          <w:drawing>
            <wp:anchor distT="0" distB="0" distL="0" distR="0" simplePos="0" relativeHeight="251660288" behindDoc="0" locked="0" layoutInCell="1" allowOverlap="1" wp14:anchorId="08504323" wp14:editId="4F73DD81">
              <wp:simplePos x="914400" y="10071100"/>
              <wp:positionH relativeFrom="page">
                <wp:align>center</wp:align>
              </wp:positionH>
              <wp:positionV relativeFrom="page">
                <wp:align>bottom</wp:align>
              </wp:positionV>
              <wp:extent cx="1720215" cy="357505"/>
              <wp:effectExtent l="0" t="0" r="13335" b="0"/>
              <wp:wrapNone/>
              <wp:docPr id="342166768" name="Text Box 3" descr="Restricted Use - À usage restrei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20215" cy="357505"/>
                      </a:xfrm>
                      <a:prstGeom prst="rect">
                        <a:avLst/>
                      </a:prstGeom>
                      <a:noFill/>
                      <a:ln>
                        <a:noFill/>
                      </a:ln>
                    </wps:spPr>
                    <wps:txbx>
                      <w:txbxContent>
                        <w:p w14:paraId="7B225C56" w14:textId="703D53A3" w:rsidR="00290883" w:rsidRPr="00290883" w:rsidRDefault="00290883" w:rsidP="00290883">
                          <w:pPr>
                            <w:spacing w:after="0"/>
                            <w:rPr>
                              <w:rFonts w:ascii="Calibri" w:eastAsia="Calibri" w:hAnsi="Calibri" w:cs="Calibri"/>
                              <w:noProof/>
                              <w:color w:val="0000FF"/>
                              <w:sz w:val="20"/>
                              <w:szCs w:val="20"/>
                            </w:rPr>
                          </w:pPr>
                          <w:r w:rsidRPr="00290883">
                            <w:rPr>
                              <w:rFonts w:ascii="Calibri" w:eastAsia="Calibri" w:hAnsi="Calibri" w:cs="Calibri"/>
                              <w:noProof/>
                              <w:color w:val="0000FF"/>
                              <w:sz w:val="20"/>
                              <w:szCs w:val="20"/>
                            </w:rPr>
                            <w:t>Restricted Use - À usage restreint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504323" id="_x0000_t202" coordsize="21600,21600" o:spt="202" path="m,l,21600r21600,l21600,xe">
              <v:stroke joinstyle="miter"/>
              <v:path gradientshapeok="t" o:connecttype="rect"/>
            </v:shapetype>
            <v:shape id="Text Box 3" o:spid="_x0000_s1027" type="#_x0000_t202" alt="Restricted Use - À usage restreint" style="position:absolute;margin-left:0;margin-top:0;width:135.45pt;height:28.1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" filled="f" stroked="f">
              <v:textbox style="mso-fit-shape-to-text:t" inset="0,0,0,15pt">
                <w:txbxContent>
                  <w:p w14:paraId="7B225C56" w14:textId="703D53A3" w:rsidR="00290883" w:rsidRPr="00290883" w:rsidRDefault="00290883" w:rsidP="00290883">
                    <w:pPr>
                      <w:spacing w:after="0"/>
                      <w:rPr>
                        <w:rFonts w:ascii="Calibri" w:eastAsia="Calibri" w:hAnsi="Calibri" w:cs="Calibri"/>
                        <w:noProof/>
                        <w:color w:val="0000FF"/>
                        <w:sz w:val="20"/>
                        <w:szCs w:val="20"/>
                      </w:rPr>
                    </w:pPr>
                    <w:r w:rsidRPr="00290883">
                      <w:rPr>
                        <w:rFonts w:ascii="Calibri" w:eastAsia="Calibri" w:hAnsi="Calibri" w:cs="Calibri"/>
                        <w:noProof/>
                        <w:color w:val="0000FF"/>
                        <w:sz w:val="20"/>
                        <w:szCs w:val="20"/>
                      </w:rPr>
                      <w:t>Restricted Use - À usage restreint</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25C65" w14:textId="6AF2F2F1" w:rsidR="00290883" w:rsidRDefault="00290883">
    <w:pPr>
      <w:pStyle w:val="Footer"/>
    </w:pPr>
    <w:r>
      <w:rPr>
        <w:noProof/>
      </w:rPr>
      <mc:AlternateContent>
        <mc:Choice Requires="wps">
          <w:drawing>
            <wp:anchor distT="0" distB="0" distL="0" distR="0" simplePos="0" relativeHeight="251658240" behindDoc="0" locked="0" layoutInCell="1" allowOverlap="1" wp14:anchorId="055EFCBE" wp14:editId="2BB72408">
              <wp:simplePos x="635" y="635"/>
              <wp:positionH relativeFrom="page">
                <wp:align>center</wp:align>
              </wp:positionH>
              <wp:positionV relativeFrom="page">
                <wp:align>bottom</wp:align>
              </wp:positionV>
              <wp:extent cx="1720215" cy="357505"/>
              <wp:effectExtent l="0" t="0" r="13335" b="0"/>
              <wp:wrapNone/>
              <wp:docPr id="1919816904" name="Text Box 1" descr="Restricted Use - À usage restrei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20215" cy="357505"/>
                      </a:xfrm>
                      <a:prstGeom prst="rect">
                        <a:avLst/>
                      </a:prstGeom>
                      <a:noFill/>
                      <a:ln>
                        <a:noFill/>
                      </a:ln>
                    </wps:spPr>
                    <wps:txbx>
                      <w:txbxContent>
                        <w:p w14:paraId="3A581C90" w14:textId="614C9F18" w:rsidR="00290883" w:rsidRPr="00290883" w:rsidRDefault="00290883" w:rsidP="00290883">
                          <w:pPr>
                            <w:spacing w:after="0"/>
                            <w:rPr>
                              <w:rFonts w:ascii="Calibri" w:eastAsia="Calibri" w:hAnsi="Calibri" w:cs="Calibri"/>
                              <w:noProof/>
                              <w:color w:val="0000FF"/>
                              <w:sz w:val="20"/>
                              <w:szCs w:val="20"/>
                            </w:rPr>
                          </w:pPr>
                          <w:r w:rsidRPr="00290883">
                            <w:rPr>
                              <w:rFonts w:ascii="Calibri" w:eastAsia="Calibri" w:hAnsi="Calibri" w:cs="Calibri"/>
                              <w:noProof/>
                              <w:color w:val="0000FF"/>
                              <w:sz w:val="20"/>
                              <w:szCs w:val="20"/>
                            </w:rPr>
                            <w:t>Restricted Use - À usage restreint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55EFCBE" id="_x0000_t202" coordsize="21600,21600" o:spt="202" path="m,l,21600r21600,l21600,xe">
              <v:stroke joinstyle="miter"/>
              <v:path gradientshapeok="t" o:connecttype="rect"/>
            </v:shapetype>
            <v:shape id="Text Box 1" o:spid="_x0000_s1028" type="#_x0000_t202" alt="Restricted Use - À usage restreint" style="position:absolute;margin-left:0;margin-top:0;width:135.45pt;height:28.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" filled="f" stroked="f">
              <v:textbox style="mso-fit-shape-to-text:t" inset="0,0,0,15pt">
                <w:txbxContent>
                  <w:p w14:paraId="3A581C90" w14:textId="614C9F18" w:rsidR="00290883" w:rsidRPr="00290883" w:rsidRDefault="00290883" w:rsidP="00290883">
                    <w:pPr>
                      <w:spacing w:after="0"/>
                      <w:rPr>
                        <w:rFonts w:ascii="Calibri" w:eastAsia="Calibri" w:hAnsi="Calibri" w:cs="Calibri"/>
                        <w:noProof/>
                        <w:color w:val="0000FF"/>
                        <w:sz w:val="20"/>
                        <w:szCs w:val="20"/>
                      </w:rPr>
                    </w:pPr>
                    <w:r w:rsidRPr="00290883">
                      <w:rPr>
                        <w:rFonts w:ascii="Calibri" w:eastAsia="Calibri" w:hAnsi="Calibri" w:cs="Calibri"/>
                        <w:noProof/>
                        <w:color w:val="0000FF"/>
                        <w:sz w:val="20"/>
                        <w:szCs w:val="20"/>
                      </w:rPr>
                      <w:t>Restricted Use - À usage restreint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75EDB" w14:textId="77777777" w:rsidR="00290883" w:rsidRDefault="00290883" w:rsidP="00290883">
      <w:pPr>
        <w:spacing w:after="0" w:line="240" w:lineRule="auto"/>
      </w:pPr>
      <w:r>
        <w:separator/>
      </w:r>
    </w:p>
  </w:footnote>
  <w:footnote w:type="continuationSeparator" w:id="0">
    <w:p w14:paraId="0C0C79CE" w14:textId="77777777" w:rsidR="00290883" w:rsidRDefault="00290883" w:rsidP="002908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DDB"/>
    <w:rsid w:val="00105544"/>
    <w:rsid w:val="0013205E"/>
    <w:rsid w:val="0018293D"/>
    <w:rsid w:val="00187365"/>
    <w:rsid w:val="001B3DA8"/>
    <w:rsid w:val="00290883"/>
    <w:rsid w:val="002B36BE"/>
    <w:rsid w:val="002F6244"/>
    <w:rsid w:val="00330AB1"/>
    <w:rsid w:val="005B3551"/>
    <w:rsid w:val="00662B40"/>
    <w:rsid w:val="00687973"/>
    <w:rsid w:val="007B3B68"/>
    <w:rsid w:val="00833A2C"/>
    <w:rsid w:val="008405F2"/>
    <w:rsid w:val="00890381"/>
    <w:rsid w:val="00B90336"/>
    <w:rsid w:val="00BB7EDF"/>
    <w:rsid w:val="00C50C7E"/>
    <w:rsid w:val="00C77DDB"/>
    <w:rsid w:val="00CF68FC"/>
    <w:rsid w:val="00D1793C"/>
    <w:rsid w:val="00D963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F5ADA"/>
  <w15:chartTrackingRefBased/>
  <w15:docId w15:val="{BEF25A65-313A-4D87-BCCB-E361AAC1A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DDB"/>
  </w:style>
  <w:style w:type="paragraph" w:styleId="Heading1">
    <w:name w:val="heading 1"/>
    <w:basedOn w:val="Normal"/>
    <w:next w:val="Normal"/>
    <w:link w:val="Heading1Char"/>
    <w:uiPriority w:val="9"/>
    <w:qFormat/>
    <w:rsid w:val="00C77DD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C77DD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C77DDB"/>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C77DDB"/>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C77DDB"/>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C77D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7D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7D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7D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7DDB"/>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C77DDB"/>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C77DDB"/>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C77DDB"/>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C77DDB"/>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C77D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7D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7D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7DDB"/>
    <w:rPr>
      <w:rFonts w:eastAsiaTheme="majorEastAsia" w:cstheme="majorBidi"/>
      <w:color w:val="272727" w:themeColor="text1" w:themeTint="D8"/>
    </w:rPr>
  </w:style>
  <w:style w:type="paragraph" w:styleId="Title">
    <w:name w:val="Title"/>
    <w:basedOn w:val="Normal"/>
    <w:next w:val="Normal"/>
    <w:link w:val="TitleChar"/>
    <w:uiPriority w:val="10"/>
    <w:qFormat/>
    <w:rsid w:val="00C77D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7D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7D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7D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7DDB"/>
    <w:pPr>
      <w:spacing w:before="160"/>
      <w:jc w:val="center"/>
    </w:pPr>
    <w:rPr>
      <w:i/>
      <w:iCs/>
      <w:color w:val="404040" w:themeColor="text1" w:themeTint="BF"/>
    </w:rPr>
  </w:style>
  <w:style w:type="character" w:customStyle="1" w:styleId="QuoteChar">
    <w:name w:val="Quote Char"/>
    <w:basedOn w:val="DefaultParagraphFont"/>
    <w:link w:val="Quote"/>
    <w:uiPriority w:val="29"/>
    <w:rsid w:val="00C77DDB"/>
    <w:rPr>
      <w:i/>
      <w:iCs/>
      <w:color w:val="404040" w:themeColor="text1" w:themeTint="BF"/>
    </w:rPr>
  </w:style>
  <w:style w:type="paragraph" w:styleId="ListParagraph">
    <w:name w:val="List Paragraph"/>
    <w:basedOn w:val="Normal"/>
    <w:uiPriority w:val="34"/>
    <w:qFormat/>
    <w:rsid w:val="00C77DDB"/>
    <w:pPr>
      <w:ind w:left="720"/>
      <w:contextualSpacing/>
    </w:pPr>
  </w:style>
  <w:style w:type="character" w:styleId="IntenseEmphasis">
    <w:name w:val="Intense Emphasis"/>
    <w:basedOn w:val="DefaultParagraphFont"/>
    <w:uiPriority w:val="21"/>
    <w:qFormat/>
    <w:rsid w:val="00C77DDB"/>
    <w:rPr>
      <w:i/>
      <w:iCs/>
      <w:color w:val="2E74B5" w:themeColor="accent1" w:themeShade="BF"/>
    </w:rPr>
  </w:style>
  <w:style w:type="paragraph" w:styleId="IntenseQuote">
    <w:name w:val="Intense Quote"/>
    <w:basedOn w:val="Normal"/>
    <w:next w:val="Normal"/>
    <w:link w:val="IntenseQuoteChar"/>
    <w:uiPriority w:val="30"/>
    <w:qFormat/>
    <w:rsid w:val="00C77DD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C77DDB"/>
    <w:rPr>
      <w:i/>
      <w:iCs/>
      <w:color w:val="2E74B5" w:themeColor="accent1" w:themeShade="BF"/>
    </w:rPr>
  </w:style>
  <w:style w:type="character" w:styleId="IntenseReference">
    <w:name w:val="Intense Reference"/>
    <w:basedOn w:val="DefaultParagraphFont"/>
    <w:uiPriority w:val="32"/>
    <w:qFormat/>
    <w:rsid w:val="00C77DDB"/>
    <w:rPr>
      <w:b/>
      <w:bCs/>
      <w:smallCaps/>
      <w:color w:val="2E74B5" w:themeColor="accent1" w:themeShade="BF"/>
      <w:spacing w:val="5"/>
    </w:rPr>
  </w:style>
  <w:style w:type="character" w:styleId="Hyperlink">
    <w:name w:val="Hyperlink"/>
    <w:basedOn w:val="DefaultParagraphFont"/>
    <w:uiPriority w:val="99"/>
    <w:unhideWhenUsed/>
    <w:rsid w:val="00C77DDB"/>
    <w:rPr>
      <w:color w:val="0563C1" w:themeColor="hyperlink"/>
      <w:u w:val="single"/>
    </w:rPr>
  </w:style>
  <w:style w:type="character" w:styleId="FollowedHyperlink">
    <w:name w:val="FollowedHyperlink"/>
    <w:basedOn w:val="DefaultParagraphFont"/>
    <w:uiPriority w:val="99"/>
    <w:semiHidden/>
    <w:unhideWhenUsed/>
    <w:rsid w:val="00C77DDB"/>
    <w:rPr>
      <w:color w:val="954F72" w:themeColor="followedHyperlink"/>
      <w:u w:val="single"/>
    </w:rPr>
  </w:style>
  <w:style w:type="paragraph" w:styleId="Footer">
    <w:name w:val="footer"/>
    <w:basedOn w:val="Normal"/>
    <w:link w:val="FooterChar"/>
    <w:uiPriority w:val="99"/>
    <w:unhideWhenUsed/>
    <w:rsid w:val="002908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0883"/>
  </w:style>
  <w:style w:type="character" w:styleId="UnresolvedMention">
    <w:name w:val="Unresolved Mention"/>
    <w:basedOn w:val="DefaultParagraphFont"/>
    <w:uiPriority w:val="99"/>
    <w:semiHidden/>
    <w:unhideWhenUsed/>
    <w:rsid w:val="00833A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4</Pages>
  <Words>1200</Words>
  <Characters>6612</Characters>
  <Application>Microsoft Office Word</Application>
  <DocSecurity>0</DocSecurity>
  <Lines>143</Lines>
  <Paragraphs>91</Paragraphs>
  <ScaleCrop>false</ScaleCrop>
  <HeadingPairs>
    <vt:vector size="2" baseType="variant">
      <vt:variant>
        <vt:lpstr>Title</vt:lpstr>
      </vt:variant>
      <vt:variant>
        <vt:i4>1</vt:i4>
      </vt:variant>
    </vt:vector>
  </HeadingPairs>
  <TitlesOfParts>
    <vt:vector size="1" baseType="lpstr">
      <vt:lpstr/>
    </vt:vector>
  </TitlesOfParts>
  <Company>OECD</Company>
  <LinksUpToDate>false</LinksUpToDate>
  <CharactersWithSpaces>7721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CERASA Fabiana, TAD/ATM</dc:creator>
  <cp:keywords/>
  <dc:description/>
  <cp:lastModifiedBy>CERASA Fabiana, TAD/ATM</cp:lastModifiedBy>
  <cp:revision>10</cp:revision>
  <dcterms:created xsi:type="dcterms:W3CDTF">2025-02-14T18:18:00Z</dcterms:created>
  <dcterms:modified xsi:type="dcterms:W3CDTF">2025-03-17T09:27:00Z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726e14c8,46caf812,14650cf0</vt:lpwstr>
  </property>
  <property fmtid="{D5CDD505-2E9C-101B-9397-08002B2CF9AE}" pid="3" name="ClassificationContentMarkingFooterFontProps">
    <vt:lpwstr>#0000ff,10,Calibri</vt:lpwstr>
  </property>
  <property fmtid="{D5CDD505-2E9C-101B-9397-08002B2CF9AE}" pid="4" name="ClassificationContentMarkingFooterText">
    <vt:lpwstr>Restricted Use - À usage restreint</vt:lpwstr>
  </property>
  <property fmtid="{D5CDD505-2E9C-101B-9397-08002B2CF9AE}" pid="5" name="MSIP_Label_0e5510b0-e729-4ef0-a3dd-4ba0dfe56c99_Enabled">
    <vt:lpwstr>true</vt:lpwstr>
  </property>
  <property fmtid="{D5CDD505-2E9C-101B-9397-08002B2CF9AE}" pid="6" name="MSIP_Label_0e5510b0-e729-4ef0-a3dd-4ba0dfe56c99_SetDate">
    <vt:lpwstr>2025-02-14T20:04:08Z</vt:lpwstr>
  </property>
  <property fmtid="{D5CDD505-2E9C-101B-9397-08002B2CF9AE}" pid="7" name="MSIP_Label_0e5510b0-e729-4ef0-a3dd-4ba0dfe56c99_Method">
    <vt:lpwstr>Standard</vt:lpwstr>
  </property>
  <property fmtid="{D5CDD505-2E9C-101B-9397-08002B2CF9AE}" pid="8" name="MSIP_Label_0e5510b0-e729-4ef0-a3dd-4ba0dfe56c99_Name">
    <vt:lpwstr>Restricted Use</vt:lpwstr>
  </property>
  <property fmtid="{D5CDD505-2E9C-101B-9397-08002B2CF9AE}" pid="9" name="MSIP_Label_0e5510b0-e729-4ef0-a3dd-4ba0dfe56c99_SiteId">
    <vt:lpwstr>ac41c7d4-1f61-460d-b0f4-fc925a2b471c</vt:lpwstr>
  </property>
  <property fmtid="{D5CDD505-2E9C-101B-9397-08002B2CF9AE}" pid="10" name="MSIP_Label_0e5510b0-e729-4ef0-a3dd-4ba0dfe56c99_ActionId">
    <vt:lpwstr>84ad5b82-e2a5-443c-86eb-9e56079e98b3</vt:lpwstr>
  </property>
  <property fmtid="{D5CDD505-2E9C-101B-9397-08002B2CF9AE}" pid="11" name="MSIP_Label_0e5510b0-e729-4ef0-a3dd-4ba0dfe56c99_ContentBits">
    <vt:lpwstr>2</vt:lpwstr>
  </property>
</Properties>
</file>