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8D8232" w14:textId="0197542D" w:rsidR="00D9639F" w:rsidRDefault="00196FC6" w:rsidP="00016488">
      <w:pPr>
        <w:pStyle w:val="Heading1"/>
        <w:jc w:val="both"/>
        <w:rPr>
          <w:lang w:val="en-US"/>
        </w:rPr>
      </w:pPr>
      <w:bookmarkStart w:id="0" w:name="_Hlk190453163"/>
      <w:r>
        <w:rPr>
          <w:lang w:val="en-US"/>
        </w:rPr>
        <w:t>International trade of fisheries commodities</w:t>
      </w:r>
    </w:p>
    <w:bookmarkEnd w:id="0"/>
    <w:p w14:paraId="4F338D32" w14:textId="1B423459" w:rsidR="00D865C7" w:rsidRDefault="00D865C7" w:rsidP="00016488">
      <w:pPr>
        <w:pStyle w:val="Heading2"/>
        <w:jc w:val="both"/>
        <w:rPr>
          <w:lang w:val="en-US"/>
        </w:rPr>
      </w:pPr>
      <w:r>
        <w:rPr>
          <w:lang w:val="en-US"/>
        </w:rPr>
        <w:t>General notes</w:t>
      </w:r>
    </w:p>
    <w:p w14:paraId="05CD55FD" w14:textId="77777777" w:rsidR="0091168F" w:rsidRPr="0091168F" w:rsidRDefault="0091168F" w:rsidP="0091168F">
      <w:pPr>
        <w:jc w:val="both"/>
        <w:rPr>
          <w:lang w:val="en-US"/>
        </w:rPr>
      </w:pPr>
      <w:r w:rsidRPr="0091168F">
        <w:rPr>
          <w:lang w:val="en-US"/>
        </w:rPr>
        <w:t>This dataset presents statistics on world annual international trade of fishery and aquaculture products. It includes all aquatic animals (fish, crustaceans, molluscs, and other aquatic animals), algae (macroalgae, microalgae, and Cyanobacteria) and other aquatic products (e.g. corals and sponges) with the exception of data on aquatic mammals, reptiles, amphibians, turtles, and miscellaneous aquatic products. Data are expressed in US dollars.</w:t>
      </w:r>
    </w:p>
    <w:p w14:paraId="1E06E35D" w14:textId="77777777" w:rsidR="00C15D61" w:rsidRDefault="00C15D61" w:rsidP="00C15D61">
      <w:pPr>
        <w:jc w:val="both"/>
        <w:rPr>
          <w:lang w:val="en-US"/>
        </w:rPr>
      </w:pPr>
      <w:r w:rsidRPr="0091168F">
        <w:rPr>
          <w:lang w:val="en-US"/>
        </w:rPr>
        <w:t>Data are expressed in US dollars, at current prices.</w:t>
      </w:r>
    </w:p>
    <w:p w14:paraId="68054C7A" w14:textId="77777777" w:rsidR="00C15D61" w:rsidRDefault="00C15D61" w:rsidP="00C15D61">
      <w:pPr>
        <w:jc w:val="both"/>
        <w:rPr>
          <w:lang w:val="en-US"/>
        </w:rPr>
      </w:pPr>
      <w:r w:rsidRPr="0091168F">
        <w:rPr>
          <w:lang w:val="en-US"/>
        </w:rPr>
        <w:t>FAO's International Standard Statistical Classification of Fishery Commodities (ISSCFC) has been used for collation of detailed information on countries or zones. ISSCFC is an expansion of the United Nations Standard International Trade Classification, Revision 4 (SITC Rev.4) and is linked with the Harmonized System of the World Customs Organization.</w:t>
      </w:r>
    </w:p>
    <w:p w14:paraId="72D93A09" w14:textId="77777777" w:rsidR="00C15D61" w:rsidRPr="0091168F" w:rsidRDefault="00C15D61" w:rsidP="00C15D61">
      <w:pPr>
        <w:jc w:val="both"/>
        <w:rPr>
          <w:lang w:val="en-US"/>
        </w:rPr>
      </w:pPr>
      <w:r w:rsidRPr="0091168F">
        <w:rPr>
          <w:lang w:val="en-US"/>
        </w:rPr>
        <w:t>The World Sturgeon Conservation Society (WSCS) provided support on caviar data.</w:t>
      </w:r>
      <w:r>
        <w:rPr>
          <w:lang w:val="en-US"/>
        </w:rPr>
        <w:t xml:space="preserve"> </w:t>
      </w:r>
      <w:r w:rsidRPr="0091168F">
        <w:rPr>
          <w:lang w:val="en-US"/>
        </w:rPr>
        <w:t>The Marine Ingredients Organization (IFFO) provided support on fishmeal and fish oil data.</w:t>
      </w:r>
    </w:p>
    <w:p w14:paraId="2E15FF4A" w14:textId="77777777" w:rsidR="00C15D61" w:rsidRPr="0091168F" w:rsidRDefault="00C15D61" w:rsidP="00C15D61">
      <w:pPr>
        <w:jc w:val="both"/>
        <w:rPr>
          <w:lang w:val="en-US"/>
        </w:rPr>
      </w:pPr>
      <w:r w:rsidRPr="0091168F">
        <w:rPr>
          <w:lang w:val="en-US"/>
        </w:rPr>
        <w:t>Where necessary, any data published in previous releases of this dataset have been revised.</w:t>
      </w:r>
      <w:r>
        <w:rPr>
          <w:lang w:val="en-US"/>
        </w:rPr>
        <w:t xml:space="preserve"> </w:t>
      </w:r>
      <w:r w:rsidRPr="0091168F">
        <w:rPr>
          <w:lang w:val="en-US"/>
        </w:rPr>
        <w:t>Where the figures in the current release differ from those previously published, the amended data represent the most recent version.</w:t>
      </w:r>
      <w:r>
        <w:rPr>
          <w:lang w:val="en-US"/>
        </w:rPr>
        <w:t xml:space="preserve"> </w:t>
      </w:r>
      <w:r w:rsidRPr="0091168F">
        <w:rPr>
          <w:lang w:val="en-US"/>
        </w:rPr>
        <w:t>Some statistics provided to FAO by national offices, in particular those for the last year, are provisional and may be amended in future editions.</w:t>
      </w:r>
    </w:p>
    <w:p w14:paraId="03D7084A" w14:textId="2690F33A" w:rsidR="00BA7FCE" w:rsidRPr="00BA7FCE" w:rsidRDefault="00BA7FCE" w:rsidP="00BA7FCE">
      <w:pPr>
        <w:jc w:val="both"/>
        <w:rPr>
          <w:lang w:val="en-US"/>
        </w:rPr>
      </w:pPr>
      <w:r w:rsidRPr="00BA7FCE">
        <w:rPr>
          <w:lang w:val="en-US"/>
        </w:rPr>
        <w:t>Mirror statistics, which are the data derived from the other reporting countries’ data, are flagged</w:t>
      </w:r>
      <w:r w:rsidR="003555A6">
        <w:rPr>
          <w:lang w:val="en-US"/>
        </w:rPr>
        <w:t xml:space="preserve"> as </w:t>
      </w:r>
      <w:r w:rsidRPr="00BA7FCE">
        <w:rPr>
          <w:lang w:val="en-US"/>
        </w:rPr>
        <w:t xml:space="preserve">I. </w:t>
      </w:r>
    </w:p>
    <w:p w14:paraId="01EC82E0" w14:textId="56AF60DF" w:rsidR="00C15D61" w:rsidRDefault="00C15D61" w:rsidP="00C15D61">
      <w:pPr>
        <w:jc w:val="both"/>
        <w:rPr>
          <w:lang w:val="en-US"/>
        </w:rPr>
      </w:pPr>
      <w:r w:rsidRPr="0091168F">
        <w:rPr>
          <w:lang w:val="en-US"/>
        </w:rPr>
        <w:t>The annual period used is the calendar year (1 January - 31 December) except for the following countries which report data on a split-year basis as indicated:</w:t>
      </w:r>
    </w:p>
    <w:p w14:paraId="69658E82" w14:textId="77777777" w:rsidR="00C15D61" w:rsidRPr="00C15D61" w:rsidRDefault="00C15D61" w:rsidP="00C15D61">
      <w:pPr>
        <w:pStyle w:val="ListParagraph"/>
        <w:numPr>
          <w:ilvl w:val="0"/>
          <w:numId w:val="3"/>
        </w:numPr>
        <w:jc w:val="both"/>
        <w:rPr>
          <w:lang w:val="en-US"/>
        </w:rPr>
      </w:pPr>
      <w:r w:rsidRPr="00C15D61">
        <w:rPr>
          <w:lang w:val="en-US"/>
        </w:rPr>
        <w:t>AUSTRALIA - Year ending 30 June (up to 2002; from 1998 only imports)</w:t>
      </w:r>
    </w:p>
    <w:p w14:paraId="781907D6" w14:textId="77777777" w:rsidR="00C15D61" w:rsidRPr="00C15D61" w:rsidRDefault="00C15D61" w:rsidP="00C15D61">
      <w:pPr>
        <w:pStyle w:val="ListParagraph"/>
        <w:numPr>
          <w:ilvl w:val="0"/>
          <w:numId w:val="3"/>
        </w:numPr>
        <w:jc w:val="both"/>
        <w:rPr>
          <w:lang w:val="en-US"/>
        </w:rPr>
      </w:pPr>
      <w:r w:rsidRPr="00C15D61">
        <w:rPr>
          <w:lang w:val="en-US"/>
        </w:rPr>
        <w:t>NEW ZEALAND - Year ending 30 June (only 2002)</w:t>
      </w:r>
    </w:p>
    <w:p w14:paraId="734EA230" w14:textId="77777777" w:rsidR="00C15D61" w:rsidRPr="0091168F" w:rsidRDefault="00C15D61" w:rsidP="00C15D61">
      <w:pPr>
        <w:jc w:val="both"/>
        <w:rPr>
          <w:lang w:val="en-US"/>
        </w:rPr>
      </w:pPr>
      <w:r w:rsidRPr="0091168F">
        <w:rPr>
          <w:lang w:val="en-US"/>
        </w:rPr>
        <w:t>Where data for split-years are tabulated together with data on a calendar year basis, those for split-years are shown under the calendar years in which the split-years end.</w:t>
      </w:r>
    </w:p>
    <w:p w14:paraId="234B77D5" w14:textId="77777777" w:rsidR="0091168F" w:rsidRDefault="0091168F" w:rsidP="0091168F">
      <w:pPr>
        <w:jc w:val="both"/>
        <w:rPr>
          <w:lang w:val="en-US"/>
        </w:rPr>
      </w:pPr>
      <w:r w:rsidRPr="0091168F">
        <w:rPr>
          <w:lang w:val="en-US"/>
        </w:rPr>
        <w:t>Two systems of recording trade are in common use, differing mainly in the way warehoused and re-exported goods are recorded: special trade and general trade.</w:t>
      </w:r>
    </w:p>
    <w:p w14:paraId="50069753" w14:textId="77777777" w:rsidR="0091168F" w:rsidRDefault="0091168F" w:rsidP="0091168F">
      <w:pPr>
        <w:jc w:val="both"/>
        <w:rPr>
          <w:lang w:val="en-US"/>
        </w:rPr>
      </w:pPr>
      <w:r w:rsidRPr="0091168F">
        <w:rPr>
          <w:lang w:val="en-US"/>
        </w:rPr>
        <w:t>a) Special trade is a system of recording imports for domestic consumption on the one hand and exports of domestic goods on the other. Special imports include goods for domestic consumption and withdrawals from bonded warehouses or free zones for purposes of domestic consumption. Special exports comprise exports of goods wholly or partially produced or manufactured in the country, together with exports of «nationalized goods», but not of goods held in bonded warehouses or free zones.</w:t>
      </w:r>
    </w:p>
    <w:p w14:paraId="113BC64D" w14:textId="77777777" w:rsidR="0091168F" w:rsidRDefault="0091168F" w:rsidP="0091168F">
      <w:pPr>
        <w:jc w:val="both"/>
        <w:rPr>
          <w:lang w:val="en-US"/>
        </w:rPr>
      </w:pPr>
      <w:r w:rsidRPr="0091168F">
        <w:rPr>
          <w:lang w:val="en-US"/>
        </w:rPr>
        <w:t xml:space="preserve">b) General trade is a system which records total imports and total exports including re-exports. General imports consist of all imports into a country, including goods for domestic consumption and imports into bonded warehouses or free zones. General exports consist of the combined total of national exports and re-exports. Re-exports, in the general trade system, consist of the </w:t>
      </w:r>
      <w:r w:rsidRPr="0091168F">
        <w:rPr>
          <w:lang w:val="en-US"/>
        </w:rPr>
        <w:lastRenderedPageBreak/>
        <w:t>outward movement of nationalized goods plus goods which, after importation, move outward from bonded warehouses or free zones without having been transformed.</w:t>
      </w:r>
    </w:p>
    <w:p w14:paraId="256A5BD6" w14:textId="77777777" w:rsidR="0091168F" w:rsidRDefault="0091168F" w:rsidP="0091168F">
      <w:pPr>
        <w:jc w:val="both"/>
        <w:rPr>
          <w:lang w:val="en-US"/>
        </w:rPr>
      </w:pPr>
      <w:r w:rsidRPr="0091168F">
        <w:rPr>
          <w:lang w:val="en-US"/>
        </w:rPr>
        <w:t>Export and import data in this dataset relate to general trade for all countries except those named below, which report/have reported on the basis of special trade:</w:t>
      </w:r>
    </w:p>
    <w:p w14:paraId="27FEACCD" w14:textId="77777777" w:rsidR="0091168F" w:rsidRPr="0091168F" w:rsidRDefault="0091168F" w:rsidP="0091168F">
      <w:pPr>
        <w:pStyle w:val="ListParagraph"/>
        <w:numPr>
          <w:ilvl w:val="0"/>
          <w:numId w:val="1"/>
        </w:numPr>
        <w:jc w:val="both"/>
        <w:rPr>
          <w:lang w:val="en-US"/>
        </w:rPr>
      </w:pPr>
      <w:r w:rsidRPr="0091168F">
        <w:rPr>
          <w:lang w:val="en-US"/>
        </w:rPr>
        <w:t>ARGENTINA</w:t>
      </w:r>
    </w:p>
    <w:p w14:paraId="315BE6CE" w14:textId="77777777" w:rsidR="0091168F" w:rsidRPr="0091168F" w:rsidRDefault="0091168F" w:rsidP="0091168F">
      <w:pPr>
        <w:pStyle w:val="ListParagraph"/>
        <w:numPr>
          <w:ilvl w:val="0"/>
          <w:numId w:val="1"/>
        </w:numPr>
        <w:jc w:val="both"/>
        <w:rPr>
          <w:lang w:val="it-IT"/>
        </w:rPr>
      </w:pPr>
      <w:r w:rsidRPr="0091168F">
        <w:rPr>
          <w:lang w:val="it-IT"/>
        </w:rPr>
        <w:t>AUSTRIA</w:t>
      </w:r>
    </w:p>
    <w:p w14:paraId="29A4BFA9" w14:textId="77777777" w:rsidR="0091168F" w:rsidRPr="0091168F" w:rsidRDefault="0091168F" w:rsidP="0091168F">
      <w:pPr>
        <w:pStyle w:val="ListParagraph"/>
        <w:numPr>
          <w:ilvl w:val="0"/>
          <w:numId w:val="1"/>
        </w:numPr>
        <w:jc w:val="both"/>
        <w:rPr>
          <w:lang w:val="it-IT"/>
        </w:rPr>
      </w:pPr>
      <w:r w:rsidRPr="0091168F">
        <w:rPr>
          <w:lang w:val="it-IT"/>
        </w:rPr>
        <w:t>BELGIUM</w:t>
      </w:r>
    </w:p>
    <w:p w14:paraId="765866F7" w14:textId="77777777" w:rsidR="0091168F" w:rsidRPr="0091168F" w:rsidRDefault="0091168F" w:rsidP="0091168F">
      <w:pPr>
        <w:pStyle w:val="ListParagraph"/>
        <w:numPr>
          <w:ilvl w:val="0"/>
          <w:numId w:val="1"/>
        </w:numPr>
        <w:jc w:val="both"/>
        <w:rPr>
          <w:lang w:val="it-IT"/>
        </w:rPr>
      </w:pPr>
      <w:r w:rsidRPr="0091168F">
        <w:rPr>
          <w:lang w:val="it-IT"/>
        </w:rPr>
        <w:t>BRAZIL</w:t>
      </w:r>
    </w:p>
    <w:p w14:paraId="32C5C116" w14:textId="77777777" w:rsidR="0091168F" w:rsidRPr="0091168F" w:rsidRDefault="0091168F" w:rsidP="0091168F">
      <w:pPr>
        <w:pStyle w:val="ListParagraph"/>
        <w:numPr>
          <w:ilvl w:val="0"/>
          <w:numId w:val="1"/>
        </w:numPr>
        <w:jc w:val="both"/>
        <w:rPr>
          <w:lang w:val="it-IT"/>
        </w:rPr>
      </w:pPr>
      <w:r w:rsidRPr="0091168F">
        <w:rPr>
          <w:lang w:val="it-IT"/>
        </w:rPr>
        <w:t>BULGARIA</w:t>
      </w:r>
    </w:p>
    <w:p w14:paraId="3215CDDF" w14:textId="77777777" w:rsidR="0091168F" w:rsidRPr="0091168F" w:rsidRDefault="0091168F" w:rsidP="0091168F">
      <w:pPr>
        <w:pStyle w:val="ListParagraph"/>
        <w:numPr>
          <w:ilvl w:val="0"/>
          <w:numId w:val="1"/>
        </w:numPr>
        <w:jc w:val="both"/>
        <w:rPr>
          <w:lang w:val="it-IT"/>
        </w:rPr>
      </w:pPr>
      <w:r w:rsidRPr="0091168F">
        <w:rPr>
          <w:lang w:val="it-IT"/>
        </w:rPr>
        <w:t>CHINESE TAIPEI</w:t>
      </w:r>
    </w:p>
    <w:p w14:paraId="33DF3028" w14:textId="77777777" w:rsidR="0091168F" w:rsidRPr="0091168F" w:rsidRDefault="0091168F" w:rsidP="0091168F">
      <w:pPr>
        <w:pStyle w:val="ListParagraph"/>
        <w:numPr>
          <w:ilvl w:val="0"/>
          <w:numId w:val="1"/>
        </w:numPr>
        <w:jc w:val="both"/>
        <w:rPr>
          <w:lang w:val="it-IT"/>
        </w:rPr>
      </w:pPr>
      <w:r w:rsidRPr="0091168F">
        <w:rPr>
          <w:lang w:val="it-IT"/>
        </w:rPr>
        <w:t>COLOMBIA</w:t>
      </w:r>
    </w:p>
    <w:p w14:paraId="0E59CE8F" w14:textId="77777777" w:rsidR="0091168F" w:rsidRPr="0091168F" w:rsidRDefault="0091168F" w:rsidP="0091168F">
      <w:pPr>
        <w:pStyle w:val="ListParagraph"/>
        <w:numPr>
          <w:ilvl w:val="0"/>
          <w:numId w:val="1"/>
        </w:numPr>
        <w:jc w:val="both"/>
        <w:rPr>
          <w:lang w:val="it-IT"/>
        </w:rPr>
      </w:pPr>
      <w:r w:rsidRPr="0091168F">
        <w:rPr>
          <w:lang w:val="it-IT"/>
        </w:rPr>
        <w:t>COSTA RICA (2017, 2019-2021)</w:t>
      </w:r>
    </w:p>
    <w:p w14:paraId="48FF596B" w14:textId="77777777" w:rsidR="0091168F" w:rsidRPr="0091168F" w:rsidRDefault="0091168F" w:rsidP="0091168F">
      <w:pPr>
        <w:pStyle w:val="ListParagraph"/>
        <w:numPr>
          <w:ilvl w:val="0"/>
          <w:numId w:val="1"/>
        </w:numPr>
        <w:jc w:val="both"/>
        <w:rPr>
          <w:lang w:val="it-IT"/>
        </w:rPr>
      </w:pPr>
      <w:r w:rsidRPr="0091168F">
        <w:rPr>
          <w:lang w:val="it-IT"/>
        </w:rPr>
        <w:t>CROATIA</w:t>
      </w:r>
    </w:p>
    <w:p w14:paraId="7BA3246E" w14:textId="77777777" w:rsidR="0091168F" w:rsidRPr="0091168F" w:rsidRDefault="0091168F" w:rsidP="0091168F">
      <w:pPr>
        <w:pStyle w:val="ListParagraph"/>
        <w:numPr>
          <w:ilvl w:val="0"/>
          <w:numId w:val="1"/>
        </w:numPr>
        <w:jc w:val="both"/>
        <w:rPr>
          <w:lang w:val="it-IT"/>
        </w:rPr>
      </w:pPr>
      <w:r w:rsidRPr="0091168F">
        <w:rPr>
          <w:lang w:val="it-IT"/>
        </w:rPr>
        <w:t>CZECK REPUBLIC</w:t>
      </w:r>
    </w:p>
    <w:p w14:paraId="363B48AA" w14:textId="77777777" w:rsidR="0091168F" w:rsidRPr="0091168F" w:rsidRDefault="0091168F" w:rsidP="0091168F">
      <w:pPr>
        <w:pStyle w:val="ListParagraph"/>
        <w:numPr>
          <w:ilvl w:val="0"/>
          <w:numId w:val="1"/>
        </w:numPr>
        <w:jc w:val="both"/>
        <w:rPr>
          <w:lang w:val="en-US"/>
        </w:rPr>
      </w:pPr>
      <w:r w:rsidRPr="0091168F">
        <w:rPr>
          <w:lang w:val="en-US"/>
        </w:rPr>
        <w:t>ESTONIA</w:t>
      </w:r>
    </w:p>
    <w:p w14:paraId="35E2331D" w14:textId="77777777" w:rsidR="0091168F" w:rsidRPr="0091168F" w:rsidRDefault="0091168F" w:rsidP="0091168F">
      <w:pPr>
        <w:pStyle w:val="ListParagraph"/>
        <w:numPr>
          <w:ilvl w:val="0"/>
          <w:numId w:val="1"/>
        </w:numPr>
        <w:jc w:val="both"/>
        <w:rPr>
          <w:lang w:val="en-US"/>
        </w:rPr>
      </w:pPr>
      <w:r w:rsidRPr="0091168F">
        <w:rPr>
          <w:lang w:val="en-US"/>
        </w:rPr>
        <w:t>FINLAND</w:t>
      </w:r>
    </w:p>
    <w:p w14:paraId="56BFE3CD" w14:textId="77777777" w:rsidR="0091168F" w:rsidRPr="0091168F" w:rsidRDefault="0091168F" w:rsidP="0091168F">
      <w:pPr>
        <w:pStyle w:val="ListParagraph"/>
        <w:numPr>
          <w:ilvl w:val="0"/>
          <w:numId w:val="1"/>
        </w:numPr>
        <w:jc w:val="both"/>
        <w:rPr>
          <w:lang w:val="en-US"/>
        </w:rPr>
      </w:pPr>
      <w:r w:rsidRPr="0091168F">
        <w:rPr>
          <w:lang w:val="en-US"/>
        </w:rPr>
        <w:t>FRANCE</w:t>
      </w:r>
    </w:p>
    <w:p w14:paraId="14AB4151" w14:textId="77777777" w:rsidR="0091168F" w:rsidRPr="0091168F" w:rsidRDefault="0091168F" w:rsidP="0091168F">
      <w:pPr>
        <w:pStyle w:val="ListParagraph"/>
        <w:numPr>
          <w:ilvl w:val="0"/>
          <w:numId w:val="1"/>
        </w:numPr>
        <w:jc w:val="both"/>
        <w:rPr>
          <w:lang w:val="en-US"/>
        </w:rPr>
      </w:pPr>
      <w:r w:rsidRPr="0091168F">
        <w:rPr>
          <w:lang w:val="en-US"/>
        </w:rPr>
        <w:t>GERMANY</w:t>
      </w:r>
    </w:p>
    <w:p w14:paraId="4CF604DF" w14:textId="77777777" w:rsidR="0091168F" w:rsidRPr="0091168F" w:rsidRDefault="0091168F" w:rsidP="0091168F">
      <w:pPr>
        <w:pStyle w:val="ListParagraph"/>
        <w:numPr>
          <w:ilvl w:val="0"/>
          <w:numId w:val="1"/>
        </w:numPr>
        <w:jc w:val="both"/>
        <w:rPr>
          <w:lang w:val="en-US"/>
        </w:rPr>
      </w:pPr>
      <w:r w:rsidRPr="0091168F">
        <w:rPr>
          <w:lang w:val="en-US"/>
        </w:rPr>
        <w:t>GREECE</w:t>
      </w:r>
    </w:p>
    <w:p w14:paraId="64C0E2E4" w14:textId="77777777" w:rsidR="0091168F" w:rsidRPr="0091168F" w:rsidRDefault="0091168F" w:rsidP="0091168F">
      <w:pPr>
        <w:pStyle w:val="ListParagraph"/>
        <w:numPr>
          <w:ilvl w:val="0"/>
          <w:numId w:val="1"/>
        </w:numPr>
        <w:jc w:val="both"/>
        <w:rPr>
          <w:lang w:val="en-US"/>
        </w:rPr>
      </w:pPr>
      <w:r w:rsidRPr="0091168F">
        <w:rPr>
          <w:lang w:val="en-US"/>
        </w:rPr>
        <w:t>HUNGARY</w:t>
      </w:r>
    </w:p>
    <w:p w14:paraId="1671B40C" w14:textId="77777777" w:rsidR="0091168F" w:rsidRPr="0091168F" w:rsidRDefault="0091168F" w:rsidP="0091168F">
      <w:pPr>
        <w:pStyle w:val="ListParagraph"/>
        <w:numPr>
          <w:ilvl w:val="0"/>
          <w:numId w:val="1"/>
        </w:numPr>
        <w:jc w:val="both"/>
        <w:rPr>
          <w:lang w:val="fr-FR"/>
        </w:rPr>
      </w:pPr>
      <w:r w:rsidRPr="0091168F">
        <w:rPr>
          <w:lang w:val="fr-FR"/>
        </w:rPr>
        <w:t>ICELAND</w:t>
      </w:r>
    </w:p>
    <w:p w14:paraId="72BA82D1" w14:textId="77777777" w:rsidR="0091168F" w:rsidRPr="0091168F" w:rsidRDefault="0091168F" w:rsidP="0091168F">
      <w:pPr>
        <w:pStyle w:val="ListParagraph"/>
        <w:numPr>
          <w:ilvl w:val="0"/>
          <w:numId w:val="1"/>
        </w:numPr>
        <w:jc w:val="both"/>
        <w:rPr>
          <w:lang w:val="fr-FR"/>
        </w:rPr>
      </w:pPr>
      <w:r w:rsidRPr="0091168F">
        <w:rPr>
          <w:lang w:val="fr-FR"/>
        </w:rPr>
        <w:t>ISRAEL</w:t>
      </w:r>
    </w:p>
    <w:p w14:paraId="52968199" w14:textId="77777777" w:rsidR="0091168F" w:rsidRPr="0091168F" w:rsidRDefault="0091168F" w:rsidP="0091168F">
      <w:pPr>
        <w:pStyle w:val="ListParagraph"/>
        <w:numPr>
          <w:ilvl w:val="0"/>
          <w:numId w:val="1"/>
        </w:numPr>
        <w:jc w:val="both"/>
        <w:rPr>
          <w:lang w:val="fr-FR"/>
        </w:rPr>
      </w:pPr>
      <w:r w:rsidRPr="0091168F">
        <w:rPr>
          <w:lang w:val="fr-FR"/>
        </w:rPr>
        <w:t>ITALY</w:t>
      </w:r>
    </w:p>
    <w:p w14:paraId="7E83ED12" w14:textId="77777777" w:rsidR="0091168F" w:rsidRPr="0091168F" w:rsidRDefault="0091168F" w:rsidP="0091168F">
      <w:pPr>
        <w:pStyle w:val="ListParagraph"/>
        <w:numPr>
          <w:ilvl w:val="0"/>
          <w:numId w:val="1"/>
        </w:numPr>
        <w:jc w:val="both"/>
        <w:rPr>
          <w:lang w:val="fr-FR"/>
        </w:rPr>
      </w:pPr>
      <w:r w:rsidRPr="0091168F">
        <w:rPr>
          <w:lang w:val="fr-FR"/>
        </w:rPr>
        <w:t>LATVIA</w:t>
      </w:r>
    </w:p>
    <w:p w14:paraId="524D0FFA" w14:textId="77777777" w:rsidR="0091168F" w:rsidRPr="0091168F" w:rsidRDefault="0091168F" w:rsidP="0091168F">
      <w:pPr>
        <w:pStyle w:val="ListParagraph"/>
        <w:numPr>
          <w:ilvl w:val="0"/>
          <w:numId w:val="1"/>
        </w:numPr>
        <w:jc w:val="both"/>
        <w:rPr>
          <w:lang w:val="fr-FR"/>
        </w:rPr>
      </w:pPr>
      <w:r w:rsidRPr="0091168F">
        <w:rPr>
          <w:lang w:val="fr-FR"/>
        </w:rPr>
        <w:t>LITHUANIA</w:t>
      </w:r>
    </w:p>
    <w:p w14:paraId="29C10678" w14:textId="77777777" w:rsidR="0091168F" w:rsidRPr="0091168F" w:rsidRDefault="0091168F" w:rsidP="0091168F">
      <w:pPr>
        <w:pStyle w:val="ListParagraph"/>
        <w:numPr>
          <w:ilvl w:val="0"/>
          <w:numId w:val="1"/>
        </w:numPr>
        <w:jc w:val="both"/>
        <w:rPr>
          <w:lang w:val="fr-FR"/>
        </w:rPr>
      </w:pPr>
      <w:r w:rsidRPr="0091168F">
        <w:rPr>
          <w:lang w:val="fr-FR"/>
        </w:rPr>
        <w:t>LUXEMBOURG</w:t>
      </w:r>
    </w:p>
    <w:p w14:paraId="4D3547A2" w14:textId="77777777" w:rsidR="0091168F" w:rsidRPr="0091168F" w:rsidRDefault="0091168F" w:rsidP="0091168F">
      <w:pPr>
        <w:pStyle w:val="ListParagraph"/>
        <w:numPr>
          <w:ilvl w:val="0"/>
          <w:numId w:val="1"/>
        </w:numPr>
        <w:jc w:val="both"/>
        <w:rPr>
          <w:lang w:val="fr-FR"/>
        </w:rPr>
      </w:pPr>
      <w:r w:rsidRPr="0091168F">
        <w:rPr>
          <w:lang w:val="fr-FR"/>
        </w:rPr>
        <w:t>NETHERLANDS</w:t>
      </w:r>
    </w:p>
    <w:p w14:paraId="68C32A0A" w14:textId="77777777" w:rsidR="0091168F" w:rsidRPr="0091168F" w:rsidRDefault="0091168F" w:rsidP="0091168F">
      <w:pPr>
        <w:pStyle w:val="ListParagraph"/>
        <w:numPr>
          <w:ilvl w:val="0"/>
          <w:numId w:val="1"/>
        </w:numPr>
        <w:jc w:val="both"/>
        <w:rPr>
          <w:lang w:val="fr-FR"/>
        </w:rPr>
      </w:pPr>
      <w:r w:rsidRPr="0091168F">
        <w:rPr>
          <w:lang w:val="fr-FR"/>
        </w:rPr>
        <w:t>PERU</w:t>
      </w:r>
    </w:p>
    <w:p w14:paraId="3F337256" w14:textId="77777777" w:rsidR="0091168F" w:rsidRPr="0091168F" w:rsidRDefault="0091168F" w:rsidP="0091168F">
      <w:pPr>
        <w:pStyle w:val="ListParagraph"/>
        <w:numPr>
          <w:ilvl w:val="0"/>
          <w:numId w:val="1"/>
        </w:numPr>
        <w:jc w:val="both"/>
        <w:rPr>
          <w:lang w:val="fr-FR"/>
        </w:rPr>
      </w:pPr>
      <w:r w:rsidRPr="0091168F">
        <w:rPr>
          <w:lang w:val="fr-FR"/>
        </w:rPr>
        <w:t>POLAND</w:t>
      </w:r>
    </w:p>
    <w:p w14:paraId="6AE14682" w14:textId="77777777" w:rsidR="0091168F" w:rsidRPr="0091168F" w:rsidRDefault="0091168F" w:rsidP="0091168F">
      <w:pPr>
        <w:pStyle w:val="ListParagraph"/>
        <w:numPr>
          <w:ilvl w:val="0"/>
          <w:numId w:val="1"/>
        </w:numPr>
        <w:jc w:val="both"/>
        <w:rPr>
          <w:lang w:val="fr-FR"/>
        </w:rPr>
      </w:pPr>
      <w:r w:rsidRPr="0091168F">
        <w:rPr>
          <w:lang w:val="fr-FR"/>
        </w:rPr>
        <w:t>PORTUGAL</w:t>
      </w:r>
    </w:p>
    <w:p w14:paraId="3E1BAE50" w14:textId="77777777" w:rsidR="0091168F" w:rsidRPr="0091168F" w:rsidRDefault="0091168F" w:rsidP="0091168F">
      <w:pPr>
        <w:pStyle w:val="ListParagraph"/>
        <w:numPr>
          <w:ilvl w:val="0"/>
          <w:numId w:val="1"/>
        </w:numPr>
        <w:jc w:val="both"/>
        <w:rPr>
          <w:lang w:val="en-US"/>
        </w:rPr>
      </w:pPr>
      <w:r w:rsidRPr="0091168F">
        <w:rPr>
          <w:lang w:val="en-US"/>
        </w:rPr>
        <w:t>ROMANIA</w:t>
      </w:r>
    </w:p>
    <w:p w14:paraId="2564CB89" w14:textId="77777777" w:rsidR="0091168F" w:rsidRPr="0091168F" w:rsidRDefault="0091168F" w:rsidP="0091168F">
      <w:pPr>
        <w:pStyle w:val="ListParagraph"/>
        <w:numPr>
          <w:ilvl w:val="0"/>
          <w:numId w:val="1"/>
        </w:numPr>
        <w:jc w:val="both"/>
        <w:rPr>
          <w:lang w:val="en-US"/>
        </w:rPr>
      </w:pPr>
      <w:r w:rsidRPr="0091168F">
        <w:rPr>
          <w:lang w:val="en-US"/>
        </w:rPr>
        <w:t>SLOVAK REPUBLIC</w:t>
      </w:r>
    </w:p>
    <w:p w14:paraId="22EC9208" w14:textId="77777777" w:rsidR="0091168F" w:rsidRPr="0091168F" w:rsidRDefault="0091168F" w:rsidP="0091168F">
      <w:pPr>
        <w:pStyle w:val="ListParagraph"/>
        <w:numPr>
          <w:ilvl w:val="0"/>
          <w:numId w:val="1"/>
        </w:numPr>
        <w:jc w:val="both"/>
        <w:rPr>
          <w:lang w:val="en-US"/>
        </w:rPr>
      </w:pPr>
      <w:r w:rsidRPr="0091168F">
        <w:rPr>
          <w:lang w:val="en-US"/>
        </w:rPr>
        <w:t>SLOVENIA</w:t>
      </w:r>
    </w:p>
    <w:p w14:paraId="0297FCF9" w14:textId="77777777" w:rsidR="0091168F" w:rsidRPr="0091168F" w:rsidRDefault="0091168F" w:rsidP="0091168F">
      <w:pPr>
        <w:pStyle w:val="ListParagraph"/>
        <w:numPr>
          <w:ilvl w:val="0"/>
          <w:numId w:val="1"/>
        </w:numPr>
        <w:jc w:val="both"/>
        <w:rPr>
          <w:lang w:val="en-US"/>
        </w:rPr>
      </w:pPr>
      <w:r w:rsidRPr="0091168F">
        <w:rPr>
          <w:lang w:val="en-US"/>
        </w:rPr>
        <w:t>SPAIN</w:t>
      </w:r>
    </w:p>
    <w:p w14:paraId="2BE3AD5A" w14:textId="77777777" w:rsidR="0091168F" w:rsidRPr="0091168F" w:rsidRDefault="0091168F" w:rsidP="0091168F">
      <w:pPr>
        <w:pStyle w:val="ListParagraph"/>
        <w:numPr>
          <w:ilvl w:val="0"/>
          <w:numId w:val="1"/>
        </w:numPr>
        <w:jc w:val="both"/>
        <w:rPr>
          <w:lang w:val="en-US"/>
        </w:rPr>
      </w:pPr>
      <w:r w:rsidRPr="0091168F">
        <w:rPr>
          <w:lang w:val="en-US"/>
        </w:rPr>
        <w:t>SWEDEN</w:t>
      </w:r>
    </w:p>
    <w:p w14:paraId="7AE9F856" w14:textId="77777777" w:rsidR="0091168F" w:rsidRPr="0091168F" w:rsidRDefault="0091168F" w:rsidP="0091168F">
      <w:pPr>
        <w:pStyle w:val="ListParagraph"/>
        <w:numPr>
          <w:ilvl w:val="0"/>
          <w:numId w:val="1"/>
        </w:numPr>
        <w:jc w:val="both"/>
        <w:rPr>
          <w:lang w:val="en-US"/>
        </w:rPr>
      </w:pPr>
      <w:r w:rsidRPr="0091168F">
        <w:rPr>
          <w:lang w:val="en-US"/>
        </w:rPr>
        <w:t>SWITZERLAND</w:t>
      </w:r>
    </w:p>
    <w:p w14:paraId="10455EB3" w14:textId="77777777" w:rsidR="0091168F" w:rsidRPr="0091168F" w:rsidRDefault="0091168F" w:rsidP="0091168F">
      <w:pPr>
        <w:pStyle w:val="ListParagraph"/>
        <w:numPr>
          <w:ilvl w:val="0"/>
          <w:numId w:val="1"/>
        </w:numPr>
        <w:jc w:val="both"/>
        <w:rPr>
          <w:lang w:val="en-US"/>
        </w:rPr>
      </w:pPr>
      <w:r w:rsidRPr="0091168F">
        <w:rPr>
          <w:lang w:val="en-US"/>
        </w:rPr>
        <w:t>THAILAND</w:t>
      </w:r>
    </w:p>
    <w:p w14:paraId="6ACE53EF" w14:textId="7CE8F67F" w:rsidR="0091168F" w:rsidRPr="0091168F" w:rsidRDefault="0091168F" w:rsidP="0091168F">
      <w:pPr>
        <w:pStyle w:val="ListParagraph"/>
        <w:numPr>
          <w:ilvl w:val="0"/>
          <w:numId w:val="1"/>
        </w:numPr>
        <w:jc w:val="both"/>
        <w:rPr>
          <w:lang w:val="en-US"/>
        </w:rPr>
      </w:pPr>
      <w:r w:rsidRPr="0091168F">
        <w:rPr>
          <w:lang w:val="en-US"/>
        </w:rPr>
        <w:t>TÜRKIYE (2017-2019)</w:t>
      </w:r>
    </w:p>
    <w:p w14:paraId="56BFBA2B" w14:textId="77777777" w:rsidR="0091168F" w:rsidRDefault="0091168F" w:rsidP="0091168F">
      <w:pPr>
        <w:jc w:val="both"/>
        <w:rPr>
          <w:lang w:val="en-US"/>
        </w:rPr>
      </w:pPr>
      <w:r w:rsidRPr="0091168F">
        <w:rPr>
          <w:lang w:val="en-US"/>
        </w:rPr>
        <w:t>Differences between figures given for total exports and total imports of any one commodity may be due to several factors, e.g. the time lapse between the dispatch of goods from the exporting country and their arrival in the importing country; the use of a different classification of the same product by different countries; or the fact that some countries supply trade data on general trade, while others give data on special trade.</w:t>
      </w:r>
    </w:p>
    <w:p w14:paraId="36AB2425" w14:textId="77777777" w:rsidR="00C15D61" w:rsidRDefault="00C15D61" w:rsidP="00C15D61">
      <w:pPr>
        <w:jc w:val="both"/>
        <w:rPr>
          <w:lang w:val="en-US"/>
        </w:rPr>
      </w:pPr>
      <w:r w:rsidRPr="0091168F">
        <w:rPr>
          <w:lang w:val="en-US"/>
        </w:rPr>
        <w:lastRenderedPageBreak/>
        <w:t>In accordance with the internationally recommended practice, import statistics include aquatic species caught by foreign fishing craft, whether or not processed on board, landed in domestic ports; export statistics include aquatic species caught by domestic fishing craft, whether or not processed on board, landed in foreign ports.</w:t>
      </w:r>
    </w:p>
    <w:p w14:paraId="3F5F8F8B" w14:textId="77777777" w:rsidR="0091168F" w:rsidRDefault="0091168F" w:rsidP="0091168F">
      <w:pPr>
        <w:jc w:val="both"/>
        <w:rPr>
          <w:lang w:val="en-US"/>
        </w:rPr>
      </w:pPr>
      <w:r w:rsidRPr="0091168F">
        <w:rPr>
          <w:lang w:val="en-US"/>
        </w:rPr>
        <w:t>In general export values are f.o.b. (free on board) and import values are c.i.f. (cost, insurance, and freight), but there are few exceptions:</w:t>
      </w:r>
    </w:p>
    <w:p w14:paraId="780BB7A8" w14:textId="77777777" w:rsidR="0091168F" w:rsidRPr="0091168F" w:rsidRDefault="0091168F" w:rsidP="0091168F">
      <w:pPr>
        <w:pStyle w:val="ListParagraph"/>
        <w:numPr>
          <w:ilvl w:val="0"/>
          <w:numId w:val="2"/>
        </w:numPr>
        <w:jc w:val="both"/>
        <w:rPr>
          <w:lang w:val="en-US"/>
        </w:rPr>
      </w:pPr>
      <w:r w:rsidRPr="0091168F">
        <w:rPr>
          <w:lang w:val="en-US"/>
        </w:rPr>
        <w:t>AUSTRALIA -- import and export values are both f.o.b. up to 2018 and in 2020-21</w:t>
      </w:r>
    </w:p>
    <w:p w14:paraId="13FB2B72" w14:textId="77777777" w:rsidR="0091168F" w:rsidRPr="0091168F" w:rsidRDefault="0091168F" w:rsidP="0091168F">
      <w:pPr>
        <w:pStyle w:val="ListParagraph"/>
        <w:numPr>
          <w:ilvl w:val="0"/>
          <w:numId w:val="2"/>
        </w:numPr>
        <w:jc w:val="both"/>
        <w:rPr>
          <w:lang w:val="en-US"/>
        </w:rPr>
      </w:pPr>
      <w:r w:rsidRPr="0091168F">
        <w:rPr>
          <w:lang w:val="en-US"/>
        </w:rPr>
        <w:t>BRAZIL -- up to 2018 both imports and exports were valued in f.o.b., but since 2021 the imports can be valued in either c.i.f. or f.o.b., while exports are valued in f.o.b.</w:t>
      </w:r>
    </w:p>
    <w:p w14:paraId="14A46781" w14:textId="77777777" w:rsidR="0091168F" w:rsidRPr="0091168F" w:rsidRDefault="0091168F" w:rsidP="0091168F">
      <w:pPr>
        <w:pStyle w:val="ListParagraph"/>
        <w:numPr>
          <w:ilvl w:val="0"/>
          <w:numId w:val="2"/>
        </w:numPr>
        <w:jc w:val="both"/>
        <w:rPr>
          <w:lang w:val="en-US"/>
        </w:rPr>
      </w:pPr>
      <w:r w:rsidRPr="0091168F">
        <w:rPr>
          <w:lang w:val="en-US"/>
        </w:rPr>
        <w:t>CANADA -- import and export values are both f.o.b.</w:t>
      </w:r>
    </w:p>
    <w:p w14:paraId="24FB630E" w14:textId="504EB68B" w:rsidR="0091168F" w:rsidRPr="0091168F" w:rsidRDefault="0091168F" w:rsidP="0091168F">
      <w:pPr>
        <w:pStyle w:val="ListParagraph"/>
        <w:numPr>
          <w:ilvl w:val="0"/>
          <w:numId w:val="2"/>
        </w:numPr>
        <w:jc w:val="both"/>
        <w:rPr>
          <w:lang w:val="en-US"/>
        </w:rPr>
      </w:pPr>
      <w:r w:rsidRPr="0091168F">
        <w:rPr>
          <w:lang w:val="en-US"/>
        </w:rPr>
        <w:t>MEXICO --- up to 2021 import and export values are both f.o.b.</w:t>
      </w:r>
    </w:p>
    <w:p w14:paraId="515EB3A7" w14:textId="018C201B" w:rsidR="0091168F" w:rsidRPr="0091168F" w:rsidRDefault="0091168F" w:rsidP="0091168F">
      <w:pPr>
        <w:pStyle w:val="ListParagraph"/>
        <w:numPr>
          <w:ilvl w:val="0"/>
          <w:numId w:val="2"/>
        </w:numPr>
        <w:jc w:val="both"/>
        <w:rPr>
          <w:lang w:val="en-US"/>
        </w:rPr>
      </w:pPr>
      <w:r w:rsidRPr="0091168F">
        <w:rPr>
          <w:lang w:val="en-US"/>
        </w:rPr>
        <w:t xml:space="preserve">NEW ZEALAND -- in 2020 and 2021 the valuation for imports was both either c.i.f. or f.o.b. </w:t>
      </w:r>
    </w:p>
    <w:p w14:paraId="7541CE41" w14:textId="77777777" w:rsidR="0091168F" w:rsidRPr="0091168F" w:rsidRDefault="0091168F" w:rsidP="0091168F">
      <w:pPr>
        <w:pStyle w:val="ListParagraph"/>
        <w:numPr>
          <w:ilvl w:val="0"/>
          <w:numId w:val="2"/>
        </w:numPr>
        <w:jc w:val="both"/>
        <w:rPr>
          <w:lang w:val="en-US"/>
        </w:rPr>
      </w:pPr>
      <w:r w:rsidRPr="0091168F">
        <w:rPr>
          <w:lang w:val="en-US"/>
        </w:rPr>
        <w:t>NORWAY -- in 2022  the valuation for imports was both either c.i.f. or f.o.b.</w:t>
      </w:r>
    </w:p>
    <w:p w14:paraId="39827DD7" w14:textId="77777777" w:rsidR="0091168F" w:rsidRPr="0091168F" w:rsidRDefault="0091168F" w:rsidP="0091168F">
      <w:pPr>
        <w:pStyle w:val="ListParagraph"/>
        <w:numPr>
          <w:ilvl w:val="0"/>
          <w:numId w:val="2"/>
        </w:numPr>
        <w:jc w:val="both"/>
        <w:rPr>
          <w:lang w:val="en-US"/>
        </w:rPr>
      </w:pPr>
      <w:r w:rsidRPr="0091168F">
        <w:rPr>
          <w:lang w:val="en-US"/>
        </w:rPr>
        <w:t>PERU -- in 2022  the valuation for imports was both either c.i.f. or f.o.b.</w:t>
      </w:r>
    </w:p>
    <w:p w14:paraId="4FB2C34B" w14:textId="11926D94" w:rsidR="0091168F" w:rsidRPr="0091168F" w:rsidRDefault="0091168F" w:rsidP="0091168F">
      <w:pPr>
        <w:pStyle w:val="ListParagraph"/>
        <w:numPr>
          <w:ilvl w:val="0"/>
          <w:numId w:val="2"/>
        </w:numPr>
        <w:jc w:val="both"/>
        <w:rPr>
          <w:lang w:val="en-US"/>
        </w:rPr>
      </w:pPr>
      <w:r w:rsidRPr="0091168F">
        <w:rPr>
          <w:lang w:val="en-US"/>
        </w:rPr>
        <w:t>THAILAND -- in 2022  the valuation for imports was both either c.i.f. or f.o.b.</w:t>
      </w:r>
    </w:p>
    <w:p w14:paraId="23E5AA16" w14:textId="543D33E9" w:rsidR="0091168F" w:rsidRPr="0091168F" w:rsidRDefault="0091168F" w:rsidP="0091168F">
      <w:pPr>
        <w:pStyle w:val="ListParagraph"/>
        <w:numPr>
          <w:ilvl w:val="0"/>
          <w:numId w:val="2"/>
        </w:numPr>
        <w:jc w:val="both"/>
        <w:rPr>
          <w:lang w:val="en-US"/>
        </w:rPr>
      </w:pPr>
      <w:r w:rsidRPr="0091168F">
        <w:rPr>
          <w:lang w:val="en-US"/>
        </w:rPr>
        <w:t>USA – export values were in f.a.s. (free along side) in 2017</w:t>
      </w:r>
    </w:p>
    <w:p w14:paraId="67F2C5DA" w14:textId="77777777" w:rsidR="00C15D61" w:rsidRPr="0091168F" w:rsidRDefault="00C15D61" w:rsidP="00C15D61">
      <w:pPr>
        <w:jc w:val="both"/>
        <w:rPr>
          <w:lang w:val="en-US"/>
        </w:rPr>
      </w:pPr>
      <w:r w:rsidRPr="0091168F">
        <w:rPr>
          <w:lang w:val="en-US"/>
        </w:rPr>
        <w:t>Final data have been provided to FAO by many national offices; others submitted provisional figures only. Whenever national offices failed to report their annual statistics in time for publication, FAO, in the absence of other information, has generally used as trade estimates the returns of trading partners.</w:t>
      </w:r>
      <w:r>
        <w:rPr>
          <w:lang w:val="en-US"/>
        </w:rPr>
        <w:t xml:space="preserve"> </w:t>
      </w:r>
    </w:p>
    <w:p w14:paraId="60057183" w14:textId="77777777" w:rsidR="00BA7FCE" w:rsidRDefault="00BA7FCE" w:rsidP="0091168F">
      <w:pPr>
        <w:jc w:val="both"/>
        <w:rPr>
          <w:lang w:val="en-US"/>
        </w:rPr>
      </w:pPr>
      <w:r w:rsidRPr="00BA7FCE">
        <w:rPr>
          <w:lang w:val="en-US"/>
        </w:rPr>
        <w:t>Where national figures in this dataset differ from those previously released by FAO, the most recently published data represent the latest revisions.</w:t>
      </w:r>
    </w:p>
    <w:p w14:paraId="3B6E05FD" w14:textId="1F497475" w:rsidR="0091168F" w:rsidRPr="0091168F" w:rsidRDefault="0091168F" w:rsidP="0091168F">
      <w:pPr>
        <w:jc w:val="both"/>
        <w:rPr>
          <w:lang w:val="en-US"/>
        </w:rPr>
      </w:pPr>
      <w:r w:rsidRPr="0091168F">
        <w:rPr>
          <w:lang w:val="en-US"/>
        </w:rPr>
        <w:t>The metho</w:t>
      </w:r>
      <w:r w:rsidR="00C15D61">
        <w:rPr>
          <w:lang w:val="en-US"/>
        </w:rPr>
        <w:t>do</w:t>
      </w:r>
      <w:r w:rsidRPr="0091168F">
        <w:rPr>
          <w:lang w:val="en-US"/>
        </w:rPr>
        <w:t>logical manual of reference on international trade statistics is</w:t>
      </w:r>
      <w:r w:rsidR="00C15D61">
        <w:rPr>
          <w:lang w:val="en-US"/>
        </w:rPr>
        <w:t xml:space="preserve"> the </w:t>
      </w:r>
      <w:hyperlink r:id="rId8" w:history="1">
        <w:r w:rsidR="00C15D61" w:rsidRPr="00C15D61">
          <w:rPr>
            <w:rStyle w:val="Hyperlink"/>
            <w:lang w:val="en-US"/>
          </w:rPr>
          <w:t>International Merchandise Trade Statistics, Concepts and Definitions (IMTS, 2010)</w:t>
        </w:r>
      </w:hyperlink>
      <w:r w:rsidR="00C15D61">
        <w:rPr>
          <w:lang w:val="en-US"/>
        </w:rPr>
        <w:t>.</w:t>
      </w:r>
    </w:p>
    <w:p w14:paraId="79756D82" w14:textId="77777777" w:rsidR="00C15D61" w:rsidRDefault="00C15D61" w:rsidP="00C15D61">
      <w:pPr>
        <w:jc w:val="both"/>
        <w:rPr>
          <w:lang w:val="en-US"/>
        </w:rPr>
      </w:pPr>
      <w:r w:rsidRPr="0091168F">
        <w:rPr>
          <w:lang w:val="en-US"/>
        </w:rPr>
        <w:t>The word "countries" appearing in the text refers to countries, territories and areas without distinction.</w:t>
      </w:r>
    </w:p>
    <w:p w14:paraId="6076B67B" w14:textId="77777777" w:rsidR="003555A6" w:rsidRDefault="003555A6" w:rsidP="003555A6">
      <w:pPr>
        <w:jc w:val="both"/>
        <w:rPr>
          <w:lang w:val="en-US"/>
        </w:rPr>
      </w:pPr>
      <w:r w:rsidRPr="00894840">
        <w:rPr>
          <w:lang w:val="en-US"/>
        </w:rPr>
        <w:t xml:space="preserve">The statistical population is the set of countries participating in the work of the OECD Committee for Fisheries (COFI), i.e. the OECD members plus some partners economies. </w:t>
      </w:r>
    </w:p>
    <w:p w14:paraId="46CCBF8F" w14:textId="77777777" w:rsidR="00955E64" w:rsidRDefault="00955E64" w:rsidP="00955E64">
      <w:pPr>
        <w:jc w:val="both"/>
        <w:rPr>
          <w:lang w:val="en-US"/>
        </w:rPr>
      </w:pPr>
      <w:r>
        <w:rPr>
          <w:lang w:val="en-US"/>
        </w:rPr>
        <w:t>T</w:t>
      </w:r>
      <w:r w:rsidRPr="00D865C7">
        <w:rPr>
          <w:lang w:val="en-US"/>
        </w:rPr>
        <w:t>o facilitate analysis and comparisons over time, historical data for OECD members have been provided over as long a period as possible, often even before a country became a member of the Organisation.</w:t>
      </w:r>
      <w:r>
        <w:rPr>
          <w:lang w:val="en-US"/>
        </w:rPr>
        <w:t xml:space="preserve"> </w:t>
      </w:r>
      <w:r w:rsidRPr="00D865C7">
        <w:rPr>
          <w:lang w:val="en-US"/>
        </w:rPr>
        <w:t xml:space="preserve">Information on the membership dates of all OECD </w:t>
      </w:r>
      <w:r>
        <w:rPr>
          <w:lang w:val="en-US"/>
        </w:rPr>
        <w:t>members</w:t>
      </w:r>
      <w:r w:rsidRPr="00D865C7">
        <w:rPr>
          <w:lang w:val="en-US"/>
        </w:rPr>
        <w:t xml:space="preserve"> can be found </w:t>
      </w:r>
      <w:r>
        <w:rPr>
          <w:lang w:val="en-US"/>
        </w:rPr>
        <w:t xml:space="preserve">on the OECD </w:t>
      </w:r>
      <w:hyperlink r:id="rId9" w:history="1">
        <w:r>
          <w:rPr>
            <w:rStyle w:val="Hyperlink"/>
            <w:lang w:val="en-US"/>
          </w:rPr>
          <w:t>website</w:t>
        </w:r>
      </w:hyperlink>
      <w:r w:rsidRPr="00D865C7">
        <w:rPr>
          <w:lang w:val="en-US"/>
        </w:rPr>
        <w:t>.</w:t>
      </w:r>
    </w:p>
    <w:p w14:paraId="5FD9E498" w14:textId="290CC971" w:rsidR="00D865C7" w:rsidRDefault="00D865C7" w:rsidP="00016488">
      <w:pPr>
        <w:jc w:val="both"/>
        <w:rPr>
          <w:lang w:val="en-US"/>
        </w:rPr>
      </w:pPr>
      <w:r>
        <w:rPr>
          <w:lang w:val="en-US"/>
        </w:rPr>
        <w:t xml:space="preserve">The source of these data is </w:t>
      </w:r>
      <w:r w:rsidRPr="00D865C7">
        <w:rPr>
          <w:lang w:val="en-US"/>
        </w:rPr>
        <w:t xml:space="preserve">FAO. 2024. FishStat: </w:t>
      </w:r>
      <w:r w:rsidR="0091168F" w:rsidRPr="0091168F">
        <w:rPr>
          <w:lang w:val="en-US"/>
        </w:rPr>
        <w:t>Global Aquatic Trade Statistics 1976-2022</w:t>
      </w:r>
      <w:r w:rsidRPr="00D865C7">
        <w:rPr>
          <w:lang w:val="en-US"/>
        </w:rPr>
        <w:t xml:space="preserve">. [Accessed on 17 April 2024]. In: </w:t>
      </w:r>
      <w:hyperlink r:id="rId10" w:history="1">
        <w:r w:rsidRPr="00AD2884">
          <w:rPr>
            <w:rStyle w:val="Hyperlink"/>
            <w:lang w:val="en-US"/>
          </w:rPr>
          <w:t>FishStatJ</w:t>
        </w:r>
      </w:hyperlink>
      <w:r w:rsidRPr="00D865C7">
        <w:rPr>
          <w:lang w:val="en-US"/>
        </w:rPr>
        <w:t>. Licence: CC-BY-4.0.</w:t>
      </w:r>
      <w:r>
        <w:rPr>
          <w:lang w:val="en-US"/>
        </w:rPr>
        <w:t xml:space="preserve"> </w:t>
      </w:r>
    </w:p>
    <w:p w14:paraId="69631C31" w14:textId="77777777" w:rsidR="00AD2884" w:rsidRDefault="00AD2884" w:rsidP="00016488">
      <w:pPr>
        <w:jc w:val="both"/>
        <w:rPr>
          <w:lang w:val="en-US"/>
        </w:rPr>
      </w:pPr>
      <w:r w:rsidRPr="00D865C7">
        <w:rPr>
          <w:lang w:val="en-US"/>
        </w:rPr>
        <w:t xml:space="preserve">The methodological reference document for fisheries and aquaculture statistics is the </w:t>
      </w:r>
      <w:hyperlink r:id="rId11" w:history="1">
        <w:r w:rsidRPr="00AD2884">
          <w:rPr>
            <w:rStyle w:val="Hyperlink"/>
            <w:lang w:val="en-US"/>
          </w:rPr>
          <w:t>CWP Handbook of Fishery Statistics</w:t>
        </w:r>
      </w:hyperlink>
      <w:r w:rsidRPr="00D865C7">
        <w:rPr>
          <w:lang w:val="en-US"/>
        </w:rPr>
        <w:t>.</w:t>
      </w:r>
    </w:p>
    <w:p w14:paraId="2C759830" w14:textId="4093E56C" w:rsidR="00174C13" w:rsidRDefault="00174C13" w:rsidP="00174C13">
      <w:pPr>
        <w:jc w:val="both"/>
        <w:rPr>
          <w:lang w:val="en-US"/>
        </w:rPr>
      </w:pPr>
      <w:r>
        <w:rPr>
          <w:lang w:val="en-US"/>
        </w:rPr>
        <w:t xml:space="preserve">Data on </w:t>
      </w:r>
      <w:bookmarkStart w:id="1" w:name="_Hlk193894842"/>
      <w:r>
        <w:rPr>
          <w:lang w:val="en-US"/>
        </w:rPr>
        <w:t xml:space="preserve">international trade </w:t>
      </w:r>
      <w:r w:rsidRPr="00DC43E6">
        <w:rPr>
          <w:lang w:val="en-US"/>
        </w:rPr>
        <w:t xml:space="preserve">are disseminated on-line in the </w:t>
      </w:r>
      <w:hyperlink r:id="rId12" w:history="1">
        <w:r w:rsidRPr="000A550D">
          <w:rPr>
            <w:rStyle w:val="Hyperlink"/>
            <w:lang w:val="en-US"/>
          </w:rPr>
          <w:t>Fisheries and Aquaculture</w:t>
        </w:r>
      </w:hyperlink>
      <w:r w:rsidRPr="00DC43E6">
        <w:rPr>
          <w:lang w:val="en-US"/>
        </w:rPr>
        <w:t xml:space="preserve"> statistics domain of OECD Data Explorer and in the biennial publication </w:t>
      </w:r>
      <w:hyperlink r:id="rId13" w:history="1">
        <w:r w:rsidRPr="000A550D">
          <w:rPr>
            <w:rStyle w:val="Hyperlink"/>
            <w:lang w:val="en-US"/>
          </w:rPr>
          <w:t>OECD Review of Fisheries</w:t>
        </w:r>
      </w:hyperlink>
      <w:r>
        <w:rPr>
          <w:lang w:val="en-US"/>
        </w:rPr>
        <w:t xml:space="preserve">. </w:t>
      </w:r>
      <w:r w:rsidRPr="00894840">
        <w:rPr>
          <w:lang w:val="en-US"/>
        </w:rPr>
        <w:t xml:space="preserve">More information on fisheries policies and future challenges are available on the OECD dedicated </w:t>
      </w:r>
      <w:hyperlink r:id="rId14" w:history="1">
        <w:r w:rsidRPr="00576686">
          <w:rPr>
            <w:rStyle w:val="Hyperlink"/>
            <w:lang w:val="en-US"/>
          </w:rPr>
          <w:t>webpage</w:t>
        </w:r>
      </w:hyperlink>
      <w:r w:rsidRPr="00894840">
        <w:rPr>
          <w:lang w:val="en-US"/>
        </w:rPr>
        <w:t xml:space="preserve">. </w:t>
      </w:r>
    </w:p>
    <w:bookmarkEnd w:id="1"/>
    <w:p w14:paraId="1FC9CEE3" w14:textId="3B9AAE44" w:rsidR="00503562" w:rsidRPr="00BA7FCE" w:rsidRDefault="00D865C7" w:rsidP="00016488">
      <w:pPr>
        <w:jc w:val="both"/>
        <w:rPr>
          <w:lang w:val="en-US"/>
        </w:rPr>
      </w:pPr>
      <w:r w:rsidRPr="00D865C7">
        <w:rPr>
          <w:lang w:val="en-US"/>
        </w:rPr>
        <w:t xml:space="preserve">For any further questions please contact: </w:t>
      </w:r>
      <w:hyperlink r:id="rId15" w:history="1">
        <w:r w:rsidRPr="0091168F">
          <w:rPr>
            <w:rStyle w:val="Hyperlink"/>
            <w:lang w:val="en-US"/>
          </w:rPr>
          <w:t>tad.contact@oecd.org</w:t>
        </w:r>
      </w:hyperlink>
      <w:r>
        <w:rPr>
          <w:lang w:val="en-US"/>
        </w:rPr>
        <w:t>.</w:t>
      </w:r>
    </w:p>
    <w:sectPr w:rsidR="00503562" w:rsidRPr="00BA7FCE">
      <w:footerReference w:type="even" r:id="rId16"/>
      <w:footerReference w:type="defaul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1CF3FF" w14:textId="77777777" w:rsidR="00662133" w:rsidRDefault="00662133" w:rsidP="00662133">
      <w:pPr>
        <w:spacing w:after="0" w:line="240" w:lineRule="auto"/>
      </w:pPr>
      <w:r>
        <w:separator/>
      </w:r>
    </w:p>
  </w:endnote>
  <w:endnote w:type="continuationSeparator" w:id="0">
    <w:p w14:paraId="66214B31" w14:textId="77777777" w:rsidR="00662133" w:rsidRDefault="00662133" w:rsidP="006621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8E665" w14:textId="0509CFCE" w:rsidR="00662133" w:rsidRDefault="00662133">
    <w:pPr>
      <w:pStyle w:val="Footer"/>
    </w:pPr>
    <w:r>
      <w:rPr>
        <w:noProof/>
      </w:rPr>
      <mc:AlternateContent>
        <mc:Choice Requires="wps">
          <w:drawing>
            <wp:anchor distT="0" distB="0" distL="0" distR="0" simplePos="0" relativeHeight="251659264" behindDoc="0" locked="0" layoutInCell="1" allowOverlap="1" wp14:anchorId="6475CE9A" wp14:editId="2F9B4569">
              <wp:simplePos x="635" y="635"/>
              <wp:positionH relativeFrom="page">
                <wp:align>center</wp:align>
              </wp:positionH>
              <wp:positionV relativeFrom="page">
                <wp:align>bottom</wp:align>
              </wp:positionV>
              <wp:extent cx="1720215" cy="357505"/>
              <wp:effectExtent l="0" t="0" r="13335" b="0"/>
              <wp:wrapNone/>
              <wp:docPr id="1795117531" name="Text Box 2" descr="Restricted Use - À usage restrein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20215" cy="357505"/>
                      </a:xfrm>
                      <a:prstGeom prst="rect">
                        <a:avLst/>
                      </a:prstGeom>
                      <a:noFill/>
                      <a:ln>
                        <a:noFill/>
                      </a:ln>
                    </wps:spPr>
                    <wps:txbx>
                      <w:txbxContent>
                        <w:p w14:paraId="48876F4E" w14:textId="0EC5E6C5" w:rsidR="00662133" w:rsidRPr="00662133" w:rsidRDefault="00662133" w:rsidP="00662133">
                          <w:pPr>
                            <w:spacing w:after="0"/>
                            <w:rPr>
                              <w:rFonts w:ascii="Calibri" w:eastAsia="Calibri" w:hAnsi="Calibri" w:cs="Calibri"/>
                              <w:noProof/>
                              <w:color w:val="0000FF"/>
                              <w:sz w:val="20"/>
                              <w:szCs w:val="20"/>
                            </w:rPr>
                          </w:pPr>
                          <w:r w:rsidRPr="00662133">
                            <w:rPr>
                              <w:rFonts w:ascii="Calibri" w:eastAsia="Calibri" w:hAnsi="Calibri" w:cs="Calibri"/>
                              <w:noProof/>
                              <w:color w:val="0000FF"/>
                              <w:sz w:val="20"/>
                              <w:szCs w:val="20"/>
                            </w:rPr>
                            <w:t>Restricted Use - À usage restreint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475CE9A" id="_x0000_t202" coordsize="21600,21600" o:spt="202" path="m,l,21600r21600,l21600,xe">
              <v:stroke joinstyle="miter"/>
              <v:path gradientshapeok="t" o:connecttype="rect"/>
            </v:shapetype>
            <v:shape id="Text Box 2" o:spid="_x0000_s1026" type="#_x0000_t202" alt="Restricted Use - À usage restreint" style="position:absolute;margin-left:0;margin-top:0;width:135.45pt;height:28.1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" filled="f" stroked="f">
              <v:textbox style="mso-fit-shape-to-text:t" inset="0,0,0,15pt">
                <w:txbxContent>
                  <w:p w14:paraId="48876F4E" w14:textId="0EC5E6C5" w:rsidR="00662133" w:rsidRPr="00662133" w:rsidRDefault="00662133" w:rsidP="00662133">
                    <w:pPr>
                      <w:spacing w:after="0"/>
                      <w:rPr>
                        <w:rFonts w:ascii="Calibri" w:eastAsia="Calibri" w:hAnsi="Calibri" w:cs="Calibri"/>
                        <w:noProof/>
                        <w:color w:val="0000FF"/>
                        <w:sz w:val="20"/>
                        <w:szCs w:val="20"/>
                      </w:rPr>
                    </w:pPr>
                    <w:r w:rsidRPr="00662133">
                      <w:rPr>
                        <w:rFonts w:ascii="Calibri" w:eastAsia="Calibri" w:hAnsi="Calibri" w:cs="Calibri"/>
                        <w:noProof/>
                        <w:color w:val="0000FF"/>
                        <w:sz w:val="20"/>
                        <w:szCs w:val="20"/>
                      </w:rPr>
                      <w:t>Restricted Use - À usage restreint</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B947D" w14:textId="3130BBD9" w:rsidR="00662133" w:rsidRDefault="00662133">
    <w:pPr>
      <w:pStyle w:val="Footer"/>
    </w:pPr>
    <w:r>
      <w:rPr>
        <w:noProof/>
      </w:rPr>
      <mc:AlternateContent>
        <mc:Choice Requires="wps">
          <w:drawing>
            <wp:anchor distT="0" distB="0" distL="0" distR="0" simplePos="0" relativeHeight="251660288" behindDoc="0" locked="0" layoutInCell="1" allowOverlap="1" wp14:anchorId="35A34894" wp14:editId="07D4C5F8">
              <wp:simplePos x="914400" y="10074729"/>
              <wp:positionH relativeFrom="page">
                <wp:align>center</wp:align>
              </wp:positionH>
              <wp:positionV relativeFrom="page">
                <wp:align>bottom</wp:align>
              </wp:positionV>
              <wp:extent cx="1720215" cy="357505"/>
              <wp:effectExtent l="0" t="0" r="13335" b="0"/>
              <wp:wrapNone/>
              <wp:docPr id="965652659" name="Text Box 3" descr="Restricted Use - À usage restrein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20215" cy="357505"/>
                      </a:xfrm>
                      <a:prstGeom prst="rect">
                        <a:avLst/>
                      </a:prstGeom>
                      <a:noFill/>
                      <a:ln>
                        <a:noFill/>
                      </a:ln>
                    </wps:spPr>
                    <wps:txbx>
                      <w:txbxContent>
                        <w:p w14:paraId="2B8AD22C" w14:textId="07ADB708" w:rsidR="00662133" w:rsidRPr="00662133" w:rsidRDefault="00662133" w:rsidP="00662133">
                          <w:pPr>
                            <w:spacing w:after="0"/>
                            <w:rPr>
                              <w:rFonts w:ascii="Calibri" w:eastAsia="Calibri" w:hAnsi="Calibri" w:cs="Calibri"/>
                              <w:noProof/>
                              <w:color w:val="0000FF"/>
                              <w:sz w:val="20"/>
                              <w:szCs w:val="20"/>
                            </w:rPr>
                          </w:pPr>
                          <w:r w:rsidRPr="00662133">
                            <w:rPr>
                              <w:rFonts w:ascii="Calibri" w:eastAsia="Calibri" w:hAnsi="Calibri" w:cs="Calibri"/>
                              <w:noProof/>
                              <w:color w:val="0000FF"/>
                              <w:sz w:val="20"/>
                              <w:szCs w:val="20"/>
                            </w:rPr>
                            <w:t>Restricted Use - À usage restreint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5A34894" id="_x0000_t202" coordsize="21600,21600" o:spt="202" path="m,l,21600r21600,l21600,xe">
              <v:stroke joinstyle="miter"/>
              <v:path gradientshapeok="t" o:connecttype="rect"/>
            </v:shapetype>
            <v:shape id="Text Box 3" o:spid="_x0000_s1027" type="#_x0000_t202" alt="Restricted Use - À usage restreint" style="position:absolute;margin-left:0;margin-top:0;width:135.45pt;height:28.1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" filled="f" stroked="f">
              <v:textbox style="mso-fit-shape-to-text:t" inset="0,0,0,15pt">
                <w:txbxContent>
                  <w:p w14:paraId="2B8AD22C" w14:textId="07ADB708" w:rsidR="00662133" w:rsidRPr="00662133" w:rsidRDefault="00662133" w:rsidP="00662133">
                    <w:pPr>
                      <w:spacing w:after="0"/>
                      <w:rPr>
                        <w:rFonts w:ascii="Calibri" w:eastAsia="Calibri" w:hAnsi="Calibri" w:cs="Calibri"/>
                        <w:noProof/>
                        <w:color w:val="0000FF"/>
                        <w:sz w:val="20"/>
                        <w:szCs w:val="20"/>
                      </w:rPr>
                    </w:pPr>
                    <w:r w:rsidRPr="00662133">
                      <w:rPr>
                        <w:rFonts w:ascii="Calibri" w:eastAsia="Calibri" w:hAnsi="Calibri" w:cs="Calibri"/>
                        <w:noProof/>
                        <w:color w:val="0000FF"/>
                        <w:sz w:val="20"/>
                        <w:szCs w:val="20"/>
                      </w:rPr>
                      <w:t>Restricted Use - À usage restreint</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DDD62" w14:textId="47C47E52" w:rsidR="00662133" w:rsidRDefault="00662133">
    <w:pPr>
      <w:pStyle w:val="Footer"/>
    </w:pPr>
    <w:r>
      <w:rPr>
        <w:noProof/>
      </w:rPr>
      <mc:AlternateContent>
        <mc:Choice Requires="wps">
          <w:drawing>
            <wp:anchor distT="0" distB="0" distL="0" distR="0" simplePos="0" relativeHeight="251658240" behindDoc="0" locked="0" layoutInCell="1" allowOverlap="1" wp14:anchorId="582EE9B4" wp14:editId="057049E2">
              <wp:simplePos x="635" y="635"/>
              <wp:positionH relativeFrom="page">
                <wp:align>center</wp:align>
              </wp:positionH>
              <wp:positionV relativeFrom="page">
                <wp:align>bottom</wp:align>
              </wp:positionV>
              <wp:extent cx="1720215" cy="357505"/>
              <wp:effectExtent l="0" t="0" r="13335" b="0"/>
              <wp:wrapNone/>
              <wp:docPr id="82653387" name="Text Box 1" descr="Restricted Use - À usage restrein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20215" cy="357505"/>
                      </a:xfrm>
                      <a:prstGeom prst="rect">
                        <a:avLst/>
                      </a:prstGeom>
                      <a:noFill/>
                      <a:ln>
                        <a:noFill/>
                      </a:ln>
                    </wps:spPr>
                    <wps:txbx>
                      <w:txbxContent>
                        <w:p w14:paraId="549CE3F2" w14:textId="21E1A983" w:rsidR="00662133" w:rsidRPr="00662133" w:rsidRDefault="00662133" w:rsidP="00662133">
                          <w:pPr>
                            <w:spacing w:after="0"/>
                            <w:rPr>
                              <w:rFonts w:ascii="Calibri" w:eastAsia="Calibri" w:hAnsi="Calibri" w:cs="Calibri"/>
                              <w:noProof/>
                              <w:color w:val="0000FF"/>
                              <w:sz w:val="20"/>
                              <w:szCs w:val="20"/>
                            </w:rPr>
                          </w:pPr>
                          <w:r w:rsidRPr="00662133">
                            <w:rPr>
                              <w:rFonts w:ascii="Calibri" w:eastAsia="Calibri" w:hAnsi="Calibri" w:cs="Calibri"/>
                              <w:noProof/>
                              <w:color w:val="0000FF"/>
                              <w:sz w:val="20"/>
                              <w:szCs w:val="20"/>
                            </w:rPr>
                            <w:t>Restricted Use - À usage restreint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82EE9B4" id="_x0000_t202" coordsize="21600,21600" o:spt="202" path="m,l,21600r21600,l21600,xe">
              <v:stroke joinstyle="miter"/>
              <v:path gradientshapeok="t" o:connecttype="rect"/>
            </v:shapetype>
            <v:shape id="Text Box 1" o:spid="_x0000_s1028" type="#_x0000_t202" alt="Restricted Use - À usage restreint" style="position:absolute;margin-left:0;margin-top:0;width:135.45pt;height:28.1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" filled="f" stroked="f">
              <v:textbox style="mso-fit-shape-to-text:t" inset="0,0,0,15pt">
                <w:txbxContent>
                  <w:p w14:paraId="549CE3F2" w14:textId="21E1A983" w:rsidR="00662133" w:rsidRPr="00662133" w:rsidRDefault="00662133" w:rsidP="00662133">
                    <w:pPr>
                      <w:spacing w:after="0"/>
                      <w:rPr>
                        <w:rFonts w:ascii="Calibri" w:eastAsia="Calibri" w:hAnsi="Calibri" w:cs="Calibri"/>
                        <w:noProof/>
                        <w:color w:val="0000FF"/>
                        <w:sz w:val="20"/>
                        <w:szCs w:val="20"/>
                      </w:rPr>
                    </w:pPr>
                    <w:r w:rsidRPr="00662133">
                      <w:rPr>
                        <w:rFonts w:ascii="Calibri" w:eastAsia="Calibri" w:hAnsi="Calibri" w:cs="Calibri"/>
                        <w:noProof/>
                        <w:color w:val="0000FF"/>
                        <w:sz w:val="20"/>
                        <w:szCs w:val="20"/>
                      </w:rPr>
                      <w:t>Restricted Use - À usage restreint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0EC74D" w14:textId="77777777" w:rsidR="00662133" w:rsidRDefault="00662133" w:rsidP="00662133">
      <w:pPr>
        <w:spacing w:after="0" w:line="240" w:lineRule="auto"/>
      </w:pPr>
      <w:r>
        <w:separator/>
      </w:r>
    </w:p>
  </w:footnote>
  <w:footnote w:type="continuationSeparator" w:id="0">
    <w:p w14:paraId="1550A069" w14:textId="77777777" w:rsidR="00662133" w:rsidRDefault="00662133" w:rsidP="006621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361B2"/>
    <w:multiLevelType w:val="hybridMultilevel"/>
    <w:tmpl w:val="4CFCE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4FB4E33"/>
    <w:multiLevelType w:val="hybridMultilevel"/>
    <w:tmpl w:val="9A7AE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E4C3BB5"/>
    <w:multiLevelType w:val="hybridMultilevel"/>
    <w:tmpl w:val="A0765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77668886">
    <w:abstractNumId w:val="2"/>
  </w:num>
  <w:num w:numId="2" w16cid:durableId="1127625160">
    <w:abstractNumId w:val="0"/>
  </w:num>
  <w:num w:numId="3" w16cid:durableId="16325159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133"/>
    <w:rsid w:val="00016488"/>
    <w:rsid w:val="00083865"/>
    <w:rsid w:val="000F1967"/>
    <w:rsid w:val="00105544"/>
    <w:rsid w:val="00126BAA"/>
    <w:rsid w:val="001723C4"/>
    <w:rsid w:val="00174C13"/>
    <w:rsid w:val="00196FC6"/>
    <w:rsid w:val="001D34EF"/>
    <w:rsid w:val="003555A6"/>
    <w:rsid w:val="00503562"/>
    <w:rsid w:val="00662133"/>
    <w:rsid w:val="006978B8"/>
    <w:rsid w:val="007631CD"/>
    <w:rsid w:val="008405F2"/>
    <w:rsid w:val="00890381"/>
    <w:rsid w:val="0091168F"/>
    <w:rsid w:val="00955E64"/>
    <w:rsid w:val="009D0A1F"/>
    <w:rsid w:val="00AC360E"/>
    <w:rsid w:val="00AD2884"/>
    <w:rsid w:val="00BA7FCE"/>
    <w:rsid w:val="00BD6974"/>
    <w:rsid w:val="00BF4673"/>
    <w:rsid w:val="00C15D61"/>
    <w:rsid w:val="00C844E5"/>
    <w:rsid w:val="00CF1F58"/>
    <w:rsid w:val="00D432F6"/>
    <w:rsid w:val="00D865C7"/>
    <w:rsid w:val="00D9639F"/>
    <w:rsid w:val="00F620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E9FEF"/>
  <w15:chartTrackingRefBased/>
  <w15:docId w15:val="{75DC5A13-6E36-41C9-B511-C92D0DC96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2133"/>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unhideWhenUsed/>
    <w:qFormat/>
    <w:rsid w:val="00662133"/>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662133"/>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662133"/>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662133"/>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6621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21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21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213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2133"/>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rsid w:val="00662133"/>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662133"/>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662133"/>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662133"/>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6621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21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21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2133"/>
    <w:rPr>
      <w:rFonts w:eastAsiaTheme="majorEastAsia" w:cstheme="majorBidi"/>
      <w:color w:val="272727" w:themeColor="text1" w:themeTint="D8"/>
    </w:rPr>
  </w:style>
  <w:style w:type="paragraph" w:styleId="Title">
    <w:name w:val="Title"/>
    <w:basedOn w:val="Normal"/>
    <w:next w:val="Normal"/>
    <w:link w:val="TitleChar"/>
    <w:uiPriority w:val="10"/>
    <w:qFormat/>
    <w:rsid w:val="006621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21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21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21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2133"/>
    <w:pPr>
      <w:spacing w:before="160"/>
      <w:jc w:val="center"/>
    </w:pPr>
    <w:rPr>
      <w:i/>
      <w:iCs/>
      <w:color w:val="404040" w:themeColor="text1" w:themeTint="BF"/>
    </w:rPr>
  </w:style>
  <w:style w:type="character" w:customStyle="1" w:styleId="QuoteChar">
    <w:name w:val="Quote Char"/>
    <w:basedOn w:val="DefaultParagraphFont"/>
    <w:link w:val="Quote"/>
    <w:uiPriority w:val="29"/>
    <w:rsid w:val="00662133"/>
    <w:rPr>
      <w:i/>
      <w:iCs/>
      <w:color w:val="404040" w:themeColor="text1" w:themeTint="BF"/>
    </w:rPr>
  </w:style>
  <w:style w:type="paragraph" w:styleId="ListParagraph">
    <w:name w:val="List Paragraph"/>
    <w:basedOn w:val="Normal"/>
    <w:uiPriority w:val="34"/>
    <w:qFormat/>
    <w:rsid w:val="00662133"/>
    <w:pPr>
      <w:ind w:left="720"/>
      <w:contextualSpacing/>
    </w:pPr>
  </w:style>
  <w:style w:type="character" w:styleId="IntenseEmphasis">
    <w:name w:val="Intense Emphasis"/>
    <w:basedOn w:val="DefaultParagraphFont"/>
    <w:uiPriority w:val="21"/>
    <w:qFormat/>
    <w:rsid w:val="00662133"/>
    <w:rPr>
      <w:i/>
      <w:iCs/>
      <w:color w:val="2E74B5" w:themeColor="accent1" w:themeShade="BF"/>
    </w:rPr>
  </w:style>
  <w:style w:type="paragraph" w:styleId="IntenseQuote">
    <w:name w:val="Intense Quote"/>
    <w:basedOn w:val="Normal"/>
    <w:next w:val="Normal"/>
    <w:link w:val="IntenseQuoteChar"/>
    <w:uiPriority w:val="30"/>
    <w:qFormat/>
    <w:rsid w:val="0066213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662133"/>
    <w:rPr>
      <w:i/>
      <w:iCs/>
      <w:color w:val="2E74B5" w:themeColor="accent1" w:themeShade="BF"/>
    </w:rPr>
  </w:style>
  <w:style w:type="character" w:styleId="IntenseReference">
    <w:name w:val="Intense Reference"/>
    <w:basedOn w:val="DefaultParagraphFont"/>
    <w:uiPriority w:val="32"/>
    <w:qFormat/>
    <w:rsid w:val="00662133"/>
    <w:rPr>
      <w:b/>
      <w:bCs/>
      <w:smallCaps/>
      <w:color w:val="2E74B5" w:themeColor="accent1" w:themeShade="BF"/>
      <w:spacing w:val="5"/>
    </w:rPr>
  </w:style>
  <w:style w:type="paragraph" w:styleId="Footer">
    <w:name w:val="footer"/>
    <w:basedOn w:val="Normal"/>
    <w:link w:val="FooterChar"/>
    <w:uiPriority w:val="99"/>
    <w:unhideWhenUsed/>
    <w:rsid w:val="006621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2133"/>
  </w:style>
  <w:style w:type="character" w:styleId="Hyperlink">
    <w:name w:val="Hyperlink"/>
    <w:basedOn w:val="DefaultParagraphFont"/>
    <w:uiPriority w:val="99"/>
    <w:unhideWhenUsed/>
    <w:rsid w:val="00AD2884"/>
    <w:rPr>
      <w:color w:val="0563C1" w:themeColor="hyperlink"/>
      <w:u w:val="single"/>
    </w:rPr>
  </w:style>
  <w:style w:type="character" w:styleId="UnresolvedMention">
    <w:name w:val="Unresolved Mention"/>
    <w:basedOn w:val="DefaultParagraphFont"/>
    <w:uiPriority w:val="99"/>
    <w:semiHidden/>
    <w:unhideWhenUsed/>
    <w:rsid w:val="00AD2884"/>
    <w:rPr>
      <w:color w:val="605E5C"/>
      <w:shd w:val="clear" w:color="auto" w:fill="E1DFDD"/>
    </w:rPr>
  </w:style>
  <w:style w:type="character" w:styleId="FollowedHyperlink">
    <w:name w:val="FollowedHyperlink"/>
    <w:basedOn w:val="DefaultParagraphFont"/>
    <w:uiPriority w:val="99"/>
    <w:semiHidden/>
    <w:unhideWhenUsed/>
    <w:rsid w:val="001723C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5731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stats.un.org/unsd/trade/eg-imts/IMTS%202010%20(English).pdf" TargetMode="External"/><Relationship Id="rId13" Type="http://schemas.openxmlformats.org/officeDocument/2006/relationships/hyperlink" Target="https://www.oecd.org/en/publications/oecd-review-of-fisheries-2025_560cd8fc-en.html"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ata-explorer.oecd.org/s/1ka"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ao.org/cwp-on-fishery-statistics/handbook/en/" TargetMode="External"/><Relationship Id="rId5" Type="http://schemas.openxmlformats.org/officeDocument/2006/relationships/webSettings" Target="webSettings.xml"/><Relationship Id="rId15" Type="http://schemas.openxmlformats.org/officeDocument/2006/relationships/hyperlink" Target="tad.contact@oecd.org" TargetMode="External"/><Relationship Id="rId10" Type="http://schemas.openxmlformats.org/officeDocument/2006/relationships/hyperlink" Target="http://www.fao.org/fishery/en/statistics/software/fishstatj"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oecd.org/en/countries.html" TargetMode="External"/><Relationship Id="rId14" Type="http://schemas.openxmlformats.org/officeDocument/2006/relationships/hyperlink" Target="https://www.oecd.org/en/topics/fisheries-and-aquacultur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9F2985-8A09-4E43-A366-648D06B0FF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3</Pages>
  <Words>1176</Words>
  <Characters>6564</Characters>
  <Application>Microsoft Office Word</Application>
  <DocSecurity>0</DocSecurity>
  <Lines>131</Lines>
  <Paragraphs>89</Paragraphs>
  <ScaleCrop>false</ScaleCrop>
  <HeadingPairs>
    <vt:vector size="2" baseType="variant">
      <vt:variant>
        <vt:lpstr>Title</vt:lpstr>
      </vt:variant>
      <vt:variant>
        <vt:i4>1</vt:i4>
      </vt:variant>
    </vt:vector>
  </HeadingPairs>
  <TitlesOfParts>
    <vt:vector size="1" baseType="lpstr">
      <vt:lpstr/>
    </vt:vector>
  </TitlesOfParts>
  <Company>OECD</Company>
  <LinksUpToDate>false</LinksUpToDate>
  <CharactersWithSpaces>7651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CERASA Fabiana, TAD/ATM</dc:creator>
  <cp:keywords/>
  <dc:description/>
  <cp:lastModifiedBy>CERASA Fabiana, TAD/ATM</cp:lastModifiedBy>
  <cp:revision>10</cp:revision>
  <dcterms:created xsi:type="dcterms:W3CDTF">2025-02-14T20:01:00Z</dcterms:created>
  <dcterms:modified xsi:type="dcterms:W3CDTF">2025-03-26T14:28:00Z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4ed30cb,6aff51db,398eb0b3</vt:lpwstr>
  </property>
  <property fmtid="{D5CDD505-2E9C-101B-9397-08002B2CF9AE}" pid="3" name="ClassificationContentMarkingFooterFontProps">
    <vt:lpwstr>#0000ff,10,Calibri</vt:lpwstr>
  </property>
  <property fmtid="{D5CDD505-2E9C-101B-9397-08002B2CF9AE}" pid="4" name="ClassificationContentMarkingFooterText">
    <vt:lpwstr>Restricted Use - À usage restreint</vt:lpwstr>
  </property>
  <property fmtid="{D5CDD505-2E9C-101B-9397-08002B2CF9AE}" pid="5" name="MSIP_Label_0e5510b0-e729-4ef0-a3dd-4ba0dfe56c99_Enabled">
    <vt:lpwstr>true</vt:lpwstr>
  </property>
  <property fmtid="{D5CDD505-2E9C-101B-9397-08002B2CF9AE}" pid="6" name="MSIP_Label_0e5510b0-e729-4ef0-a3dd-4ba0dfe56c99_SetDate">
    <vt:lpwstr>2025-02-14T15:44:09Z</vt:lpwstr>
  </property>
  <property fmtid="{D5CDD505-2E9C-101B-9397-08002B2CF9AE}" pid="7" name="MSIP_Label_0e5510b0-e729-4ef0-a3dd-4ba0dfe56c99_Method">
    <vt:lpwstr>Standard</vt:lpwstr>
  </property>
  <property fmtid="{D5CDD505-2E9C-101B-9397-08002B2CF9AE}" pid="8" name="MSIP_Label_0e5510b0-e729-4ef0-a3dd-4ba0dfe56c99_Name">
    <vt:lpwstr>Restricted Use</vt:lpwstr>
  </property>
  <property fmtid="{D5CDD505-2E9C-101B-9397-08002B2CF9AE}" pid="9" name="MSIP_Label_0e5510b0-e729-4ef0-a3dd-4ba0dfe56c99_SiteId">
    <vt:lpwstr>ac41c7d4-1f61-460d-b0f4-fc925a2b471c</vt:lpwstr>
  </property>
  <property fmtid="{D5CDD505-2E9C-101B-9397-08002B2CF9AE}" pid="10" name="MSIP_Label_0e5510b0-e729-4ef0-a3dd-4ba0dfe56c99_ActionId">
    <vt:lpwstr>5011c76e-95c3-46dc-99a1-4d540b43222c</vt:lpwstr>
  </property>
  <property fmtid="{D5CDD505-2E9C-101B-9397-08002B2CF9AE}" pid="11" name="MSIP_Label_0e5510b0-e729-4ef0-a3dd-4ba0dfe56c99_ContentBits">
    <vt:lpwstr>2</vt:lpwstr>
  </property>
</Properties>
</file>