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F6969" w14:textId="77777777" w:rsidR="00493AA5" w:rsidRPr="00C303C0" w:rsidRDefault="00493AA5" w:rsidP="00527B10">
      <w:pPr>
        <w:keepNext/>
        <w:spacing w:before="480"/>
        <w:jc w:val="center"/>
        <w:rPr>
          <w:b/>
          <w:bCs/>
          <w:caps/>
        </w:rPr>
      </w:pPr>
      <w:r w:rsidRPr="00C303C0">
        <w:rPr>
          <w:b/>
          <w:bCs/>
          <w:caps/>
        </w:rPr>
        <w:t>ANNEX B</w:t>
      </w:r>
    </w:p>
    <w:p w14:paraId="2ADF696A" w14:textId="32AB7C62" w:rsidR="00493AA5" w:rsidRPr="00366850" w:rsidRDefault="00493AA5" w:rsidP="00527B10">
      <w:pPr>
        <w:pStyle w:val="Heading2"/>
      </w:pPr>
      <w:r w:rsidRPr="00366850">
        <w:t>The 2008 SNA – changes from the 1993 SNA</w:t>
      </w:r>
    </w:p>
    <w:p w14:paraId="2ADF696B" w14:textId="293202AA" w:rsidR="00493AA5" w:rsidRDefault="00493AA5" w:rsidP="00527B10">
      <w:pPr>
        <w:pStyle w:val="BodyText"/>
      </w:pPr>
      <w:r w:rsidRPr="00366850">
        <w:t xml:space="preserve">For all OECD countries except </w:t>
      </w:r>
      <w:r>
        <w:t>Chile, Japan, and Turkey,</w:t>
      </w:r>
      <w:r w:rsidRPr="00366850">
        <w:t xml:space="preserve"> the indicators presented in this publication are based on the </w:t>
      </w:r>
      <w:r>
        <w:t>2008</w:t>
      </w:r>
      <w:r w:rsidRPr="00366850">
        <w:t xml:space="preserve"> </w:t>
      </w:r>
      <w:r>
        <w:t xml:space="preserve">System of National Accounts (2008 </w:t>
      </w:r>
      <w:r w:rsidRPr="00366850">
        <w:t>SNA</w:t>
      </w:r>
      <w:r>
        <w:t>)</w:t>
      </w:r>
      <w:r w:rsidRPr="00366850">
        <w:t>.</w:t>
      </w:r>
      <w:r>
        <w:t xml:space="preserve"> This new set of standards for the compilation of national accounts </w:t>
      </w:r>
      <w:r w:rsidRPr="00366850">
        <w:t>finalised in 2009</w:t>
      </w:r>
      <w:r>
        <w:t xml:space="preserve"> </w:t>
      </w:r>
      <w:r w:rsidR="00B2410A">
        <w:t xml:space="preserve">was </w:t>
      </w:r>
      <w:r w:rsidRPr="00366850">
        <w:t xml:space="preserve">adopted by most OECD countries </w:t>
      </w:r>
      <w:r w:rsidR="007E1EFE">
        <w:t xml:space="preserve">by </w:t>
      </w:r>
      <w:r w:rsidRPr="00366850">
        <w:t>the end of 2014</w:t>
      </w:r>
      <w:r>
        <w:t>.</w:t>
      </w:r>
      <w:r w:rsidRPr="00366850">
        <w:t xml:space="preserve"> </w:t>
      </w:r>
      <w:r>
        <w:t xml:space="preserve">The 2008 SNA </w:t>
      </w:r>
      <w:r w:rsidRPr="00366850">
        <w:t>includes a number of chang</w:t>
      </w:r>
      <w:r>
        <w:t xml:space="preserve">es to the 1993 SNA, some of which have a large impact </w:t>
      </w:r>
      <w:r w:rsidRPr="00366850">
        <w:t>on the indicators presented in this publication</w:t>
      </w:r>
      <w:r>
        <w:t xml:space="preserve"> and therefore</w:t>
      </w:r>
      <w:r w:rsidRPr="00366850">
        <w:t xml:space="preserve"> are discussed below. </w:t>
      </w:r>
    </w:p>
    <w:p w14:paraId="2ADF696F" w14:textId="4B96EBAD" w:rsidR="00493AA5" w:rsidRDefault="00493AA5" w:rsidP="00A3719D">
      <w:pPr>
        <w:pStyle w:val="BodyText"/>
        <w:rPr>
          <w:b/>
          <w:bCs/>
          <w:i/>
          <w:iCs/>
        </w:rPr>
      </w:pPr>
      <w:r w:rsidRPr="003B1642">
        <w:rPr>
          <w:b/>
          <w:bCs/>
          <w:i/>
          <w:iCs/>
        </w:rPr>
        <w:t>Changes affecting whole economy levels of income, etc.</w:t>
      </w:r>
    </w:p>
    <w:p w14:paraId="2E7EB50D" w14:textId="469CBC55" w:rsidR="00AF23CF" w:rsidRPr="006D3266" w:rsidRDefault="00AF23CF" w:rsidP="00AF23CF">
      <w:pPr>
        <w:pStyle w:val="BodyText"/>
      </w:pPr>
      <w:r w:rsidRPr="00A3719D">
        <w:t xml:space="preserve">In situations like this when changes in international standards are actually implemented in the national accounts, countries tend to take advantage of the unique situation and make changes to improve all their compilation methods - therefore also implementing various improvements in sources and estimation methodologies. It is important to underline that the impact of the latter “statistical benchmark revision” could be higher than the impact of the changeover in standards. </w:t>
      </w:r>
      <w:r w:rsidRPr="006D3266">
        <w:t>The overall impact on the levels of Gross Domestic Product (GDP), resulting from (i) the changes due to the implementation of the new standards, and (ii) the statistical benchmark revision</w:t>
      </w:r>
      <w:r>
        <w:t xml:space="preserve"> </w:t>
      </w:r>
      <w:r w:rsidRPr="006D3266">
        <w:t>is 3.8 %-points on average for the OECD</w:t>
      </w:r>
      <w:r>
        <w:t xml:space="preserve"> for the year 2010</w:t>
      </w:r>
      <w:r w:rsidRPr="006D3266">
        <w:t>. It ranges from 0.2 %-points for Luxembourg to 7.6 %-points for the Netherlands and 7.8% for Korea. For the OECD as a whole, the average impact of the changeover to the SNA 2008 amounts to 3.1 %-points, while the impact of the statistical benchmark revision accounts for 0.7 %-points, or 17% of the total impact, with a wide variation across countries.</w:t>
      </w:r>
    </w:p>
    <w:p w14:paraId="4DF477FB" w14:textId="7DED5A24" w:rsidR="00AF23CF" w:rsidRDefault="00AF23CF" w:rsidP="00AF23CF">
      <w:pPr>
        <w:tabs>
          <w:tab w:val="clear" w:pos="850"/>
          <w:tab w:val="clear" w:pos="1191"/>
          <w:tab w:val="clear" w:pos="1531"/>
        </w:tabs>
        <w:autoSpaceDE w:val="0"/>
        <w:autoSpaceDN w:val="0"/>
        <w:adjustRightInd w:val="0"/>
        <w:jc w:val="left"/>
      </w:pPr>
      <w:r>
        <w:t xml:space="preserve">A statistics brief on the general impact of the changeover to 2008 SNA is available at </w:t>
      </w:r>
      <w:hyperlink r:id="rId10" w:history="1">
        <w:r w:rsidR="000C43E1" w:rsidRPr="00D242CF">
          <w:rPr>
            <w:rStyle w:val="Hyperlink"/>
          </w:rPr>
          <w:t>http://www.oecd.org/std/na/new-standards-for-compiling-national-accounts-SNA2008-OECDSB20.pdf</w:t>
        </w:r>
      </w:hyperlink>
    </w:p>
    <w:p w14:paraId="11C99888" w14:textId="77777777" w:rsidR="00A3719D" w:rsidRDefault="00A3719D" w:rsidP="00AF23CF">
      <w:pPr>
        <w:tabs>
          <w:tab w:val="clear" w:pos="850"/>
          <w:tab w:val="clear" w:pos="1191"/>
          <w:tab w:val="clear" w:pos="1531"/>
        </w:tabs>
        <w:autoSpaceDE w:val="0"/>
        <w:autoSpaceDN w:val="0"/>
        <w:adjustRightInd w:val="0"/>
        <w:jc w:val="left"/>
      </w:pPr>
      <w:bookmarkStart w:id="0" w:name="_GoBack"/>
      <w:bookmarkEnd w:id="0"/>
    </w:p>
    <w:p w14:paraId="2ADF6971" w14:textId="71136BB1" w:rsidR="00493AA5" w:rsidRPr="003B1642" w:rsidRDefault="00493AA5" w:rsidP="00527B10">
      <w:pPr>
        <w:spacing w:after="240"/>
        <w:ind w:firstLine="442"/>
      </w:pPr>
      <w:r w:rsidRPr="003B1642">
        <w:rPr>
          <w:b/>
          <w:i/>
        </w:rPr>
        <w:t>Research and experimental development</w:t>
      </w:r>
      <w:r w:rsidRPr="003B1642">
        <w:t xml:space="preserve">: R&amp;D is recognised for the first time as a produced asset. This also means that payments for the acquisition of patents, treated as acquisition or disposal of non-produced, non-financial assets in the 1993 SNA, will be treated as transactions in produced assets, R&amp;D. This also has implications for sectorial gross value added as the 2008 SNA recommends that a separate establishment is distinguished for R&amp;D producers when possible (see: </w:t>
      </w:r>
      <w:hyperlink r:id="rId11" w:history="1">
        <w:r w:rsidRPr="003B1642">
          <w:rPr>
            <w:color w:val="0000FF"/>
            <w:u w:val="single"/>
          </w:rPr>
          <w:t>OECD Handbook on Deriving Capital Measures of Intellectual Property Products</w:t>
        </w:r>
      </w:hyperlink>
      <w:r w:rsidRPr="003B1642">
        <w:t xml:space="preserve">). The inclusion of R&amp;D as a capital asset represents the </w:t>
      </w:r>
      <w:r w:rsidR="00ED7FBC">
        <w:t>largest change due to the implementation of the 2008 SNA on GDP levels</w:t>
      </w:r>
      <w:r w:rsidRPr="003B1642">
        <w:t xml:space="preserve"> for all OECD countries, varying between 0.5% for Luxemb</w:t>
      </w:r>
      <w:r w:rsidR="00ED7FBC">
        <w:t>o</w:t>
      </w:r>
      <w:r w:rsidRPr="003B1642">
        <w:t xml:space="preserve">urg and Poland and up to 4.0% for Finland and Sweden. </w:t>
      </w:r>
    </w:p>
    <w:p w14:paraId="2ADF6972" w14:textId="57F80107" w:rsidR="00493AA5" w:rsidRPr="003B1642" w:rsidRDefault="00493AA5" w:rsidP="00527B10">
      <w:pPr>
        <w:spacing w:after="240"/>
        <w:ind w:firstLine="442"/>
      </w:pPr>
      <w:r w:rsidRPr="003B1642">
        <w:t xml:space="preserve">Under the 1993 SNA expenditure on R&amp;D by government already adds to government output (which is estimated on a sum of costs basis) and subsequently as general government final consumption. So, for government the direct impact of the capitalisation mainly involves a reclassification of expenditure from government final consumption to government gross fixed capital formation. Indirectly, however, government output and hence GDP, will increase as part of the costs of government include an imputation for depreciation; which now includes a component for the capital stock of R&amp;D by government. </w:t>
      </w:r>
    </w:p>
    <w:p w14:paraId="2ADF6973" w14:textId="7AB92608" w:rsidR="00493AA5" w:rsidRPr="00C303C0" w:rsidRDefault="00493AA5" w:rsidP="00527B10">
      <w:pPr>
        <w:spacing w:after="240"/>
        <w:ind w:firstLine="442"/>
      </w:pPr>
      <w:r w:rsidRPr="00C303C0">
        <w:rPr>
          <w:b/>
          <w:i/>
        </w:rPr>
        <w:t>Weapons systems</w:t>
      </w:r>
      <w:r w:rsidRPr="00C303C0">
        <w:t xml:space="preserve">: Military weapons systems such as vehicles, warships, etc. used continuously in the production of defence (and deterrence) services are recognised as fixed assets in the 2008 SNA (the 1993 SNA recorded these as fixed assets only if they had dual civilian use and as intermediate consumption otherwise). Some single-use items such as certain types of ballistic missiles with a highly destructive capability, but which provide ongoing deterrence services, are also recognised as fixed assets in the 2008 SNA. Because most if not all of these expenditures are carried out by </w:t>
      </w:r>
      <w:r w:rsidRPr="00C303C0">
        <w:lastRenderedPageBreak/>
        <w:t xml:space="preserve">government (whose output is typically valued by summing costs) GDP will only increase by the related new consumption of fixed capital. The impact on the GDP level as a result of the </w:t>
      </w:r>
      <w:r w:rsidR="003354A9">
        <w:t xml:space="preserve">recognition </w:t>
      </w:r>
      <w:r w:rsidRPr="00C303C0">
        <w:t>of military weapons system</w:t>
      </w:r>
      <w:r w:rsidR="003354A9">
        <w:t>s</w:t>
      </w:r>
      <w:r w:rsidRPr="00C303C0">
        <w:t xml:space="preserve"> </w:t>
      </w:r>
      <w:r w:rsidR="003354A9">
        <w:t xml:space="preserve">as capital expenditures </w:t>
      </w:r>
      <w:r w:rsidRPr="00C303C0">
        <w:t>varie</w:t>
      </w:r>
      <w:r w:rsidR="003354A9">
        <w:t>s</w:t>
      </w:r>
      <w:r w:rsidRPr="00C303C0">
        <w:t xml:space="preserve"> </w:t>
      </w:r>
      <w:r w:rsidR="003354A9">
        <w:t xml:space="preserve">across countries ranging from having no impact </w:t>
      </w:r>
      <w:r w:rsidRPr="00C303C0">
        <w:t xml:space="preserve">for countries such as Ireland or New Zealand </w:t>
      </w:r>
      <w:r w:rsidR="003354A9">
        <w:t xml:space="preserve">to </w:t>
      </w:r>
      <w:r w:rsidRPr="00C303C0">
        <w:t xml:space="preserve">0.5% </w:t>
      </w:r>
      <w:r w:rsidR="003354A9">
        <w:t xml:space="preserve">and 0.6% </w:t>
      </w:r>
      <w:r w:rsidRPr="00C303C0">
        <w:t>for the United States</w:t>
      </w:r>
      <w:r w:rsidR="003354A9">
        <w:t xml:space="preserve"> and Greece</w:t>
      </w:r>
      <w:r w:rsidRPr="00C303C0">
        <w:t>, respectively</w:t>
      </w:r>
      <w:r w:rsidR="003354A9">
        <w:t xml:space="preserve"> for the year 2010. The impact on the OECD as a whole is </w:t>
      </w:r>
      <w:r w:rsidRPr="00C303C0">
        <w:t xml:space="preserve">0.3% </w:t>
      </w:r>
      <w:r w:rsidR="003354A9">
        <w:t xml:space="preserve">on average </w:t>
      </w:r>
      <w:r w:rsidRPr="00C303C0">
        <w:t>for the</w:t>
      </w:r>
      <w:r w:rsidR="003354A9">
        <w:t xml:space="preserve"> year 2010</w:t>
      </w:r>
      <w:r w:rsidRPr="00C303C0">
        <w:t xml:space="preserve">. </w:t>
      </w:r>
    </w:p>
    <w:p w14:paraId="2ADF6975" w14:textId="77777777" w:rsidR="00493AA5" w:rsidRPr="00C303C0" w:rsidRDefault="00493AA5" w:rsidP="00527B10">
      <w:pPr>
        <w:spacing w:after="240"/>
        <w:ind w:firstLine="442"/>
      </w:pPr>
      <w:r w:rsidRPr="00C303C0">
        <w:rPr>
          <w:b/>
          <w:i/>
        </w:rPr>
        <w:t>Financial Intermediation Services Indirectly Measured (FISIM):</w:t>
      </w:r>
      <w:r w:rsidRPr="00C303C0">
        <w:t xml:space="preserve"> The method recommended in the 2008 SNA for the calculation of FISIM implies several changes from that in the 1993 SNA. For example, it explicitly recommends that FISIM only applies to loans and deposits provided by/deposited with financial institutions, and that for financial intermediaries all loans and deposits are included, not just those of intermediated funds. In addition, the 2008 SNA no longer allows countries to record FISIM as a notional industry.</w:t>
      </w:r>
    </w:p>
    <w:p w14:paraId="2ADF6976" w14:textId="77777777" w:rsidR="00493AA5" w:rsidRPr="00C303C0" w:rsidRDefault="00493AA5" w:rsidP="00527B10">
      <w:pPr>
        <w:spacing w:after="240"/>
        <w:ind w:firstLine="442"/>
      </w:pPr>
      <w:r w:rsidRPr="00C303C0">
        <w:rPr>
          <w:b/>
          <w:i/>
        </w:rPr>
        <w:t>Financial services:</w:t>
      </w:r>
      <w:r w:rsidRPr="00C303C0">
        <w:t xml:space="preserve"> The 2008 SNA defines financial services more explicitly to ensure that services, such as financial risk management and liquidity transformation, are captured.</w:t>
      </w:r>
    </w:p>
    <w:p w14:paraId="2ADF6977" w14:textId="77777777" w:rsidR="00493AA5" w:rsidRPr="00C303C0" w:rsidRDefault="00493AA5" w:rsidP="00527B10">
      <w:pPr>
        <w:spacing w:after="240"/>
        <w:ind w:firstLine="442"/>
      </w:pPr>
      <w:r w:rsidRPr="00C303C0">
        <w:rPr>
          <w:b/>
          <w:i/>
        </w:rPr>
        <w:t>Output of Central Banks:</w:t>
      </w:r>
      <w:r w:rsidRPr="00C303C0">
        <w:t xml:space="preserve"> The 2008 SNA has provided further clarification on the calculation of FISIM in calculating the output of Centrals Banks. Where Central Banks lend or borrow at rates above or below the effective market lending/borrowing rate, the 2008 SNA recommends the recording of a tax or subsidy from the counterpart lender/borrower to/from government to reflect the difference between the two rates. Correspondingly, a current transfer (the counterpart to the tax/subsidy) is recorded between government and the Central Bank. These flows will have an impact on the distribution of income in national income compared to the 1993 SNA treatment.</w:t>
      </w:r>
    </w:p>
    <w:p w14:paraId="2ADF6978" w14:textId="597D8C0F" w:rsidR="00493AA5" w:rsidRPr="00C303C0" w:rsidRDefault="00493AA5" w:rsidP="00527B10">
      <w:pPr>
        <w:spacing w:after="240"/>
        <w:ind w:firstLine="442"/>
      </w:pPr>
      <w:r w:rsidRPr="00C303C0">
        <w:rPr>
          <w:b/>
          <w:i/>
        </w:rPr>
        <w:t xml:space="preserve">Output of non-life insurance services: </w:t>
      </w:r>
      <w:r w:rsidRPr="00C303C0">
        <w:t>The methodology used to indirectly estimate this activity in the 1993 SNA (premiums plus premium supplements minus claims) could lead to extremely volatile (and negative) series in cases of catastrophic losses. The 2008 SNA recommends a different indirect approach to measurement that better reflects the pricing structures used by insurance companies and the underlying provision of insurance services per se. The approach can be simply described as an ex ante expectation approach. Output is equal to premiums plus expected premium supplements minus expected claims. The 2008 SNA also recommends that exceptionally large claims, following a catastrophe, are recorded as capital rather than current transfers which will have an impact on (particularly sectorial) estimates of disposable income.</w:t>
      </w:r>
    </w:p>
    <w:p w14:paraId="2ADF6979" w14:textId="77777777" w:rsidR="00493AA5" w:rsidRPr="00C303C0" w:rsidRDefault="00493AA5" w:rsidP="00527B10">
      <w:pPr>
        <w:spacing w:after="240"/>
        <w:ind w:firstLine="442"/>
      </w:pPr>
      <w:r w:rsidRPr="00C303C0">
        <w:rPr>
          <w:b/>
          <w:i/>
        </w:rPr>
        <w:t>Valuation of output for own final use:</w:t>
      </w:r>
      <w:r w:rsidRPr="00C303C0">
        <w:t xml:space="preserve"> The 2008 SNA recommends that estimates of output for own final use should include a component for the return to capital as part of the sum of costs approach when comparable market prices are not available. However, no return to capital should be included for non-market producers.</w:t>
      </w:r>
    </w:p>
    <w:p w14:paraId="2ADF697A" w14:textId="4072FE94" w:rsidR="00493AA5" w:rsidRPr="00C303C0" w:rsidRDefault="00493AA5" w:rsidP="00527B10">
      <w:pPr>
        <w:spacing w:after="240"/>
        <w:ind w:firstLine="442"/>
      </w:pPr>
      <w:r w:rsidRPr="00C303C0">
        <w:rPr>
          <w:b/>
          <w:i/>
        </w:rPr>
        <w:t>Costs of ownership transfer:</w:t>
      </w:r>
      <w:r w:rsidRPr="00C303C0">
        <w:t xml:space="preserve"> The 1993 SNA recommended that these costs (treated as GFCF in the accounts) should be written off over the life of the related asset. The 2008 SNA instead recommends that these costs are written off over the period the asset is expected to be held by the purchaser. This will impact on measures of net income and only marginally on gross measures, reflecting the calculation of output for own final use and government output (which is calculated as the sum of costs including depreciation).</w:t>
      </w:r>
    </w:p>
    <w:p w14:paraId="2ADF697B" w14:textId="77777777" w:rsidR="00493AA5" w:rsidRPr="00C303C0" w:rsidRDefault="00493AA5" w:rsidP="00527B10">
      <w:pPr>
        <w:keepNext/>
        <w:spacing w:before="480" w:after="240"/>
        <w:outlineLvl w:val="2"/>
        <w:rPr>
          <w:b/>
          <w:bCs/>
          <w:i/>
          <w:iCs/>
        </w:rPr>
      </w:pPr>
      <w:r w:rsidRPr="00C303C0">
        <w:rPr>
          <w:b/>
          <w:bCs/>
          <w:i/>
          <w:iCs/>
        </w:rPr>
        <w:t>Re-allocating income, etc. across categories</w:t>
      </w:r>
    </w:p>
    <w:p w14:paraId="2ADF697C" w14:textId="169D5985" w:rsidR="00493AA5" w:rsidRPr="00C303C0" w:rsidRDefault="00493AA5" w:rsidP="00527B10">
      <w:pPr>
        <w:spacing w:after="240"/>
        <w:ind w:firstLine="442"/>
      </w:pPr>
      <w:r w:rsidRPr="00C303C0">
        <w:rPr>
          <w:b/>
          <w:i/>
        </w:rPr>
        <w:t>Goods sent abroad for processing:</w:t>
      </w:r>
      <w:r w:rsidRPr="00C303C0">
        <w:t xml:space="preserve"> The 2008 SNA recommends that imports and exports are recorded on a strict ownership basis. This means that the values of a flow of goods moving from one country (that retains ownership of the goods) to another, providing processing services, should not be recorded. Only the charge for the processing service should be recorded in the trade statistics. The 1993 SNA imputed an effective change of ownership.</w:t>
      </w:r>
    </w:p>
    <w:p w14:paraId="2ADF697D" w14:textId="63D82F9F" w:rsidR="00493AA5" w:rsidRPr="00C303C0" w:rsidRDefault="00493AA5" w:rsidP="00527B10">
      <w:pPr>
        <w:spacing w:after="240"/>
        <w:ind w:firstLine="442"/>
      </w:pPr>
      <w:r w:rsidRPr="00C303C0">
        <w:rPr>
          <w:b/>
          <w:i/>
        </w:rPr>
        <w:lastRenderedPageBreak/>
        <w:t xml:space="preserve">Merchanting </w:t>
      </w:r>
      <w:r w:rsidRPr="00C303C0">
        <w:t>: Under the Balance of Payments Manual 5</w:t>
      </w:r>
      <w:r w:rsidRPr="00A3719D">
        <w:rPr>
          <w:vertAlign w:val="superscript"/>
        </w:rPr>
        <w:t>th</w:t>
      </w:r>
      <w:r w:rsidRPr="00C303C0">
        <w:t xml:space="preserve"> Edition (BPM5)merchanting—the purchase and subsequent resale of goods abroad without substantial transformation and without the goods entering or exiting the territory of the merchant—is classified as a services transaction. This treatment causes global imbalances in goods and services because the merchant records an export of a service at the same time as the country acquiring the good records an import of a good. Therefore, the 2008 SNA and BPM6 recommend classifying merchanting as a component of trade in goods. The acquisition of goods by the merchant are recorded as negative exports of the merchant’s economy and the subsequent resale of goods by the merchant are recorded as a positive exports. The difference between sales and purchases of merchanted goods is recorded under a new category “Net exports of goods under merchanting” of the merchant’s economy.</w:t>
      </w:r>
    </w:p>
    <w:p w14:paraId="2ADF697E" w14:textId="77777777" w:rsidR="00493AA5" w:rsidRPr="00C303C0" w:rsidRDefault="00493AA5" w:rsidP="00527B10">
      <w:pPr>
        <w:spacing w:after="240"/>
        <w:ind w:firstLine="442"/>
      </w:pPr>
      <w:r w:rsidRPr="00C303C0">
        <w:rPr>
          <w:b/>
          <w:i/>
        </w:rPr>
        <w:t>(Pensions) Defined benefit schemes:</w:t>
      </w:r>
      <w:r w:rsidRPr="00C303C0">
        <w:t xml:space="preserve"> The 1993 SNA stated that actual social contributions by employers and employees should reflect the amounts actually paid. The 2008 SNA differs, recognising that the amounts actually set aside may not match the liability to the employees. As such, the 2008 SNA recommends that the employer’s contribution should reflect the increase in the net present value of the pension entitlement plus costs charged by the pension fund minus the employee’s own contributions. This change will result in a shift of income between gross operating surplus and compensation of employees and between institutional sectors (corporations/government and households).</w:t>
      </w:r>
    </w:p>
    <w:p w14:paraId="2ADF697F" w14:textId="77777777" w:rsidR="00493AA5" w:rsidRPr="00C303C0" w:rsidRDefault="00493AA5" w:rsidP="00527B10">
      <w:pPr>
        <w:spacing w:after="240"/>
        <w:ind w:firstLine="442"/>
      </w:pPr>
      <w:r w:rsidRPr="00C303C0">
        <w:t>In some cases, a defined benefit pension plan may be underfunded implying the pension plan has insufficient financial assets to earn the returns that are necessary to meet promised future benefits. The promised future benefits are assets of the household sector and liabilities of the pension schemes, or the employer if there is no autonomous scheme. According to the 1993 SNA, only the funded component of pension plans should be reflected in liabilities. However, the new 2008 SNA recognizes the importance of the liabilities of employers’ pension schemes, regardless of whether they are funded or unfunded. For pensions provided by government to their employees, countries have some flexibility in the recording of the unfunded liabilities in the set of core tables. However, the full range of information is required in a new standard table (SNA Table 17.10) that shows the liabilities and associated flows of all private and public pension schemes, whether funded or unfunded, including social security.</w:t>
      </w:r>
    </w:p>
    <w:p w14:paraId="2ADF6980" w14:textId="77777777" w:rsidR="00493AA5" w:rsidRPr="00C303C0" w:rsidRDefault="00493AA5" w:rsidP="00527B10">
      <w:pPr>
        <w:spacing w:after="240"/>
        <w:ind w:firstLine="442"/>
      </w:pPr>
      <w:r w:rsidRPr="00C303C0">
        <w:rPr>
          <w:b/>
          <w:i/>
        </w:rPr>
        <w:t>Ancillary activities</w:t>
      </w:r>
      <w:r w:rsidRPr="00C303C0">
        <w:t>: The 2008 SNA recommends that if the activity of a unit undertaking purely ancillary activities is statistically observable (separate accounts, separate location) it should be recognised as a separate establishment.</w:t>
      </w:r>
    </w:p>
    <w:p w14:paraId="2ADF6981" w14:textId="77777777" w:rsidR="00493AA5" w:rsidRPr="00C303C0" w:rsidRDefault="00493AA5" w:rsidP="00527B10">
      <w:pPr>
        <w:spacing w:after="240"/>
        <w:ind w:firstLine="442"/>
      </w:pPr>
      <w:r w:rsidRPr="00C303C0">
        <w:rPr>
          <w:b/>
          <w:i/>
        </w:rPr>
        <w:t>Holding companies</w:t>
      </w:r>
      <w:r w:rsidRPr="00C303C0">
        <w:t>: The 2008 SNA recommends that holding companies should always be allocated to the financial corporations sector even if all their subsidiary corporations are non-financial corporations. The 1993 SNA recommended that they were assigned to the institutional sector in which the main group of subsidiaries was concentrated.</w:t>
      </w:r>
    </w:p>
    <w:p w14:paraId="2ADF6982" w14:textId="77777777" w:rsidR="00493AA5" w:rsidRPr="00C303C0" w:rsidRDefault="00493AA5" w:rsidP="00527B10">
      <w:pPr>
        <w:spacing w:after="240"/>
        <w:ind w:firstLine="442"/>
      </w:pPr>
      <w:r w:rsidRPr="00C303C0">
        <w:rPr>
          <w:b/>
          <w:i/>
        </w:rPr>
        <w:t>Exceptional payments from public corporations</w:t>
      </w:r>
      <w:r w:rsidRPr="00C303C0">
        <w:t>: The 2008 SNA recommends that these should be recorded as withdrawals from equity when made from accumulated reserves or sales of assets. The 1993 SNA treated such transactions as dividends.</w:t>
      </w:r>
    </w:p>
    <w:p w14:paraId="2ADF6983" w14:textId="77777777" w:rsidR="00493AA5" w:rsidRPr="00C303C0" w:rsidRDefault="00493AA5" w:rsidP="00527B10">
      <w:pPr>
        <w:spacing w:after="240"/>
        <w:ind w:firstLine="442"/>
      </w:pPr>
      <w:r w:rsidRPr="00C303C0">
        <w:rPr>
          <w:b/>
          <w:i/>
        </w:rPr>
        <w:t>Exceptional payments from governments to quasi-public corporations:</w:t>
      </w:r>
      <w:r w:rsidRPr="00C303C0">
        <w:t xml:space="preserve"> The 2008 SNA recommends that these should be treated as capital transfers to cover accumulated losses and as additions to equity when a valid expectation of a return in the form of property income exists. The 1993 SNA treated all such payments as additions to equity.</w:t>
      </w:r>
    </w:p>
    <w:p w14:paraId="2ADF6990" w14:textId="77777777" w:rsidR="00C31A5B" w:rsidRDefault="00A3719D" w:rsidP="00A3719D"/>
    <w:sectPr w:rsidR="00C31A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493AA5"/>
    <w:rsid w:val="000C43E1"/>
    <w:rsid w:val="003354A9"/>
    <w:rsid w:val="00493AA5"/>
    <w:rsid w:val="005F4974"/>
    <w:rsid w:val="007C79A7"/>
    <w:rsid w:val="007E1EFE"/>
    <w:rsid w:val="00A3719D"/>
    <w:rsid w:val="00AF23CF"/>
    <w:rsid w:val="00B2410A"/>
    <w:rsid w:val="00CD33B2"/>
    <w:rsid w:val="00D03DC0"/>
    <w:rsid w:val="00D600F0"/>
    <w:rsid w:val="00ED7FBC"/>
    <w:rsid w:val="00F0580B"/>
    <w:rsid w:val="00F07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A5"/>
    <w:pPr>
      <w:tabs>
        <w:tab w:val="left" w:pos="850"/>
        <w:tab w:val="left" w:pos="1191"/>
        <w:tab w:val="left" w:pos="1531"/>
      </w:tabs>
      <w:spacing w:after="0" w:line="240" w:lineRule="auto"/>
      <w:jc w:val="both"/>
    </w:pPr>
    <w:rPr>
      <w:rFonts w:ascii="Times New Roman" w:eastAsia="Times New Roman" w:hAnsi="Times New Roman" w:cs="Times New Roman"/>
      <w:lang w:eastAsia="zh-CN"/>
    </w:rPr>
  </w:style>
  <w:style w:type="paragraph" w:styleId="Heading2">
    <w:name w:val="heading 2"/>
    <w:basedOn w:val="Normal"/>
    <w:next w:val="Normal"/>
    <w:link w:val="Heading2Char"/>
    <w:qFormat/>
    <w:rsid w:val="00493AA5"/>
    <w:pPr>
      <w:keepNext/>
      <w:spacing w:before="240" w:after="2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3AA5"/>
    <w:rPr>
      <w:rFonts w:ascii="Times New Roman" w:eastAsia="Times New Roman" w:hAnsi="Times New Roman" w:cs="Times New Roman"/>
      <w:b/>
      <w:bCs/>
      <w:lang w:eastAsia="zh-CN"/>
    </w:rPr>
  </w:style>
  <w:style w:type="paragraph" w:customStyle="1" w:styleId="AnnexHeading">
    <w:name w:val="Annex Heading"/>
    <w:basedOn w:val="Normal"/>
    <w:next w:val="BodyText"/>
    <w:rsid w:val="00493AA5"/>
    <w:pPr>
      <w:keepNext/>
      <w:spacing w:before="1200" w:after="720"/>
      <w:jc w:val="center"/>
    </w:pPr>
    <w:rPr>
      <w:b/>
      <w:bCs/>
      <w:caps/>
    </w:rPr>
  </w:style>
  <w:style w:type="paragraph" w:styleId="BodyText">
    <w:name w:val="Body Text"/>
    <w:basedOn w:val="Normal"/>
    <w:link w:val="BodyTextChar"/>
    <w:uiPriority w:val="1"/>
    <w:qFormat/>
    <w:rsid w:val="00493AA5"/>
    <w:pPr>
      <w:spacing w:after="240"/>
      <w:ind w:firstLine="442"/>
    </w:pPr>
  </w:style>
  <w:style w:type="character" w:customStyle="1" w:styleId="BodyTextChar">
    <w:name w:val="Body Text Char"/>
    <w:basedOn w:val="DefaultParagraphFont"/>
    <w:link w:val="BodyText"/>
    <w:uiPriority w:val="1"/>
    <w:rsid w:val="00493AA5"/>
    <w:rPr>
      <w:rFonts w:ascii="Times New Roman" w:eastAsia="Times New Roman" w:hAnsi="Times New Roman" w:cs="Times New Roman"/>
      <w:lang w:eastAsia="zh-CN"/>
    </w:rPr>
  </w:style>
  <w:style w:type="paragraph" w:styleId="CommentText">
    <w:name w:val="annotation text"/>
    <w:basedOn w:val="Normal"/>
    <w:link w:val="CommentTextChar"/>
    <w:semiHidden/>
    <w:rsid w:val="00493AA5"/>
    <w:rPr>
      <w:sz w:val="20"/>
      <w:szCs w:val="20"/>
    </w:rPr>
  </w:style>
  <w:style w:type="character" w:customStyle="1" w:styleId="CommentTextChar">
    <w:name w:val="Comment Text Char"/>
    <w:basedOn w:val="DefaultParagraphFont"/>
    <w:link w:val="CommentText"/>
    <w:semiHidden/>
    <w:rsid w:val="00493AA5"/>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493AA5"/>
    <w:rPr>
      <w:color w:val="0000FF" w:themeColor="hyperlink"/>
      <w:u w:val="single"/>
    </w:rPr>
  </w:style>
  <w:style w:type="character" w:styleId="CommentReference">
    <w:name w:val="annotation reference"/>
    <w:basedOn w:val="DefaultParagraphFont"/>
    <w:uiPriority w:val="99"/>
    <w:semiHidden/>
    <w:unhideWhenUsed/>
    <w:rsid w:val="00493AA5"/>
    <w:rPr>
      <w:sz w:val="16"/>
      <w:szCs w:val="16"/>
    </w:rPr>
  </w:style>
  <w:style w:type="paragraph" w:styleId="BalloonText">
    <w:name w:val="Balloon Text"/>
    <w:basedOn w:val="Normal"/>
    <w:link w:val="BalloonTextChar"/>
    <w:uiPriority w:val="99"/>
    <w:semiHidden/>
    <w:unhideWhenUsed/>
    <w:rsid w:val="00493AA5"/>
    <w:rPr>
      <w:rFonts w:ascii="Tahoma" w:hAnsi="Tahoma" w:cs="Tahoma"/>
      <w:sz w:val="16"/>
      <w:szCs w:val="16"/>
    </w:rPr>
  </w:style>
  <w:style w:type="character" w:customStyle="1" w:styleId="BalloonTextChar">
    <w:name w:val="Balloon Text Char"/>
    <w:basedOn w:val="DefaultParagraphFont"/>
    <w:link w:val="BalloonText"/>
    <w:uiPriority w:val="99"/>
    <w:semiHidden/>
    <w:rsid w:val="00493AA5"/>
    <w:rPr>
      <w:rFonts w:ascii="Tahoma" w:eastAsia="Times New Roman" w:hAnsi="Tahoma" w:cs="Tahoma"/>
      <w:sz w:val="16"/>
      <w:szCs w:val="16"/>
      <w:lang w:eastAsia="zh-CN"/>
    </w:rPr>
  </w:style>
  <w:style w:type="paragraph" w:styleId="CommentSubject">
    <w:name w:val="annotation subject"/>
    <w:basedOn w:val="CommentText"/>
    <w:next w:val="CommentText"/>
    <w:link w:val="CommentSubjectChar"/>
    <w:uiPriority w:val="99"/>
    <w:semiHidden/>
    <w:unhideWhenUsed/>
    <w:rsid w:val="007E1EFE"/>
    <w:rPr>
      <w:b/>
      <w:bCs/>
    </w:rPr>
  </w:style>
  <w:style w:type="character" w:customStyle="1" w:styleId="CommentSubjectChar">
    <w:name w:val="Comment Subject Char"/>
    <w:basedOn w:val="CommentTextChar"/>
    <w:link w:val="CommentSubject"/>
    <w:uiPriority w:val="99"/>
    <w:semiHidden/>
    <w:rsid w:val="007E1EFE"/>
    <w:rPr>
      <w:rFonts w:ascii="Times New Roman" w:eastAsia="Times New Roman" w:hAnsi="Times New Roman" w:cs="Times New Roman"/>
      <w:b/>
      <w:bCs/>
      <w:sz w:val="20"/>
      <w:szCs w:val="20"/>
      <w:lang w:eastAsia="zh-CN"/>
    </w:rPr>
  </w:style>
  <w:style w:type="character" w:customStyle="1" w:styleId="apple-converted-space">
    <w:name w:val="apple-converted-space"/>
    <w:basedOn w:val="DefaultParagraphFont"/>
    <w:rsid w:val="00AF23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ecd.org/std/na/44312350.pdf" TargetMode="External"/><Relationship Id="rId5" Type="http://schemas.openxmlformats.org/officeDocument/2006/relationships/customXml" Target="../customXml/item5.xml"/><Relationship Id="rId10" Type="http://schemas.openxmlformats.org/officeDocument/2006/relationships/hyperlink" Target="http://www.oecd.org/std/na/new-standards-for-compiling-national-accounts-SNA2008-OECDSB20.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ECDProjectLookup xmlns="b598d352-c6a7-4aae-83d5-4d74878f8938">3</OECDProjectLookup>
    <mb326be20e034b828e1e0700072449b0 xmlns="b598d352-c6a7-4aae-83d5-4d74878f8938" xsi:nil="true"/>
    <OECDProjectManager xmlns="b598d352-c6a7-4aae-83d5-4d74878f8938">
      <UserInfo>
        <DisplayName/>
        <AccountId xsi:nil="true"/>
        <AccountType/>
      </UserInfo>
    </OECDProjectManager>
    <eSharePWBTaxHTField0 xmlns="c9f238dd-bb73-4aef-a7a5-d644ad823e52">
      <Terms xmlns="http://schemas.microsoft.com/office/infopath/2007/PartnerControls">
        <TermInfo xmlns="http://schemas.microsoft.com/office/infopath/2007/PartnerControls">
          <TermName xmlns="http://schemas.microsoft.com/office/infopath/2007/PartnerControls">6.2.1.1.2 National Accounts at a Glance</TermName>
          <TermId xmlns="http://schemas.microsoft.com/office/infopath/2007/PartnerControls">0aa9b00c-da1a-4f14-8ec8-d0789e209b09</TermId>
        </TermInfo>
      </Terms>
    </eSharePWBTaxHTField0>
    <d0db5dc05a5e404e9147bc85a79f78c9 xmlns="b598d352-c6a7-4aae-83d5-4d74878f8938" xsi:nil="true"/>
    <OECDProjectMembers xmlns="b598d352-c6a7-4aae-83d5-4d74878f8938">
      <UserInfo>
        <DisplayName>BOLTON Esther, STD/NAD</DisplayName>
        <AccountId>111</AccountId>
        <AccountType/>
      </UserInfo>
      <UserInfo>
        <DisplayName>RIBARSKY Jennifer, STD/NAD</DisplayName>
        <AccountId>163</AccountId>
        <AccountType/>
      </UserInfo>
      <UserInfo>
        <DisplayName>GIRODET Catherine, STD/NAD</DisplayName>
        <AccountId>108</AccountId>
        <AccountType/>
      </UserInfo>
      <UserInfo>
        <DisplayName>WOLFF Florence, STD/NAD</DisplayName>
        <AccountId>119</AccountId>
        <AccountType/>
      </UserInfo>
      <UserInfo>
        <DisplayName>WISTROM Bettina, STD/NAD</DisplayName>
        <AccountId>88</AccountId>
        <AccountType/>
      </UserInfo>
      <UserInfo>
        <DisplayName>YNESTA Isabelle, STD/NAD</DisplayName>
        <AccountId>102</AccountId>
        <AccountType/>
      </UserInfo>
      <UserInfo>
        <DisplayName>BEISEMANN Leonie, STD/NAD</DisplayName>
        <AccountId>254</AccountId>
        <AccountType/>
      </UserInfo>
      <UserInfo>
        <DisplayName>DE QUELJOE Matthew, STD/NAD</DisplayName>
        <AccountId>92</AccountId>
        <AccountType/>
      </UserInfo>
      <UserInfo>
        <DisplayName>Spliethoff_Admin</DisplayName>
        <AccountId>209</AccountId>
        <AccountType/>
      </UserInfo>
    </OECDProjectMembers>
    <OECDExpirationDate xmlns="b855e8c8-0866-41c2-bf69-0bb389390676" xsi:nil="true"/>
    <OECDDocumentType xmlns="54c4cd27-f286-408f-9ce0-33c1e0f3ab39" xsi:nil="true"/>
    <eShareCommitteeTaxHTField0 xmlns="c9f238dd-bb73-4aef-a7a5-d644ad823e52">
      <Terms xmlns="http://schemas.microsoft.com/office/infopath/2007/PartnerControls">
        <TermInfo xmlns="http://schemas.microsoft.com/office/infopath/2007/PartnerControls">
          <TermName xmlns="http://schemas.microsoft.com/office/infopath/2007/PartnerControls">Working Party on National Accounts</TermName>
          <TermId xmlns="http://schemas.microsoft.com/office/infopath/2007/PartnerControls">f417eecb-38cf-48e4-9260-d661ef8d58d7</TermId>
        </TermInfo>
      </Terms>
    </eShareCommitteeTaxHTField0>
    <g7e8a50fa859465b9bf3e8920321b125 xmlns="b598d352-c6a7-4aae-83d5-4d74878f8938">
      <Terms xmlns="http://schemas.microsoft.com/office/infopath/2007/PartnerControls">
        <TermInfo xmlns="http://schemas.microsoft.com/office/infopath/2007/PartnerControls">
          <TermName xmlns="http://schemas.microsoft.com/office/infopath/2007/PartnerControls">STD/NAD</TermName>
          <TermId xmlns="http://schemas.microsoft.com/office/infopath/2007/PartnerControls">c16a9c4d-ab4d-4ed8-a373-1b3a73c00a22</TermId>
        </TermInfo>
      </Terms>
    </g7e8a50fa859465b9bf3e8920321b125>
    <g81a30e168d04bd48fa13367ae60bbde xmlns="b855e8c8-0866-41c2-bf69-0bb389390676">
      <Terms xmlns="http://schemas.microsoft.com/office/infopath/2007/PartnerControls"/>
    </g81a30e168d04bd48fa13367ae60bbde>
    <OECDPinnedBy xmlns="b598d352-c6a7-4aae-83d5-4d74878f8938">
      <UserInfo>
        <DisplayName/>
        <AccountId xsi:nil="true"/>
        <AccountType/>
      </UserInfo>
    </OECDPinnedBy>
    <OECDKimStatus xmlns="54c4cd27-f286-408f-9ce0-33c1e0f3ab39">Draft</OECDKimStatus>
    <OECDTagsCache xmlns="b598d352-c6a7-4aae-83d5-4d74878f8938" xsi:nil="true"/>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Annual national accounts</TermName>
          <TermId xmlns="http://schemas.microsoft.com/office/infopath/2007/PartnerControls">e4699b97-d327-4aaf-86d4-29bfb5367b8c</TermId>
        </TermInfo>
      </Terms>
    </eShareTopicTaxHTField0>
    <OECDMainProject xmlns="b598d352-c6a7-4aae-83d5-4d74878f8938" xsi:nil="true"/>
    <eShareKeywordsTaxHTField0 xmlns="c9f238dd-bb73-4aef-a7a5-d644ad823e52">
      <Terms xmlns="http://schemas.microsoft.com/office/infopath/2007/PartnerControls">
        <TermInfo xmlns="http://schemas.microsoft.com/office/infopath/2007/PartnerControls">
          <TermName xmlns="http://schemas.microsoft.com/office/infopath/2007/PartnerControls">NAAG 2015</TermName>
          <TermId xmlns="http://schemas.microsoft.com/office/infopath/2007/PartnerControls">60fea018-3192-40cc-9ce3-90bc11f9b980</TermId>
        </TermInfo>
      </Terms>
    </eShareKeywordsTaxHTField0>
    <TaxCatchAll xmlns="ca82dde9-3436-4d3d-bddd-d31447390034">
      <Value>208</Value>
      <Value>207</Value>
      <Value>41</Value>
      <Value>209</Value>
      <Value>165</Value>
    </TaxCatchAll>
    <OECDYear xmlns="54c4cd27-f286-408f-9ce0-33c1e0f3ab39" xsi:nil="true"/>
    <pb5335f8765c484a86ddd10580650a95 xmlns="ca82dde9-3436-4d3d-bddd-d31447390034" xsi:nil="true"/>
    <aa366335bba64f7186c6f91b1ae503c2 xmlns="ca82dde9-3436-4d3d-bddd-d31447390034" xsi:nil="true"/>
  </documentManagement>
</p:properties>
</file>

<file path=customXml/item2.xml><?xml version="1.0" encoding="utf-8"?>
<?mso-contentType ?>
<CtFieldPriority xmlns="http://www.oecd.org/eshare/projectsentre/CtFieldPriority/" xmlns:i="http://www.w3.org/2001/XMLSchema-instance" NameSpaceURI="http://www.oecd.org/eshare/projectsentre/CtFieldPriority/">
  <PriorityFields xmlns:a="http://schemas.microsoft.com/2003/10/Serialization/Arrays">
    <a:string>Title</a:string>
    <a:string>FileLeafRef</a:string>
    <a:string>OECDCountry</a:string>
    <a:string>OECDTopic</a:string>
    <a:string>OECDKeywords</a:string>
  </PriorityFields>
</CtFieldPriority>
</file>

<file path=customXml/item3.xml><?xml version="1.0" encoding="utf-8"?>
<?mso-contentType ?>
<FormTemplates xmlns="http://schemas.microsoft.com/sharepoint/v3/contenttype/forms">
  <Display>OECDListFormCollapsible</Display>
  <Edit>OECDListFormCollapsible</Edit>
  <New>OECDListFormCollapsible</New>
</FormTemplates>
</file>

<file path=customXml/item4.xml><?xml version="1.0" encoding="utf-8"?>
<?mso-contentType ?>
<SharedContentType xmlns="Microsoft.SharePoint.Taxonomy.ContentTypeSync" SourceId="27ec883c-a62c-444f-a935-fcddb579e39d" ContentTypeId="0x0101008B4DD370EC31429186F3AD49F0D3098F0085FE244E64854B08B21878B1FF941C57" PreviousValue="false"/>
</file>

<file path=customXml/item5.xml><?xml version="1.0" encoding="utf-8"?>
<ct:contentTypeSchema xmlns:ct="http://schemas.microsoft.com/office/2006/metadata/contentType" xmlns:ma="http://schemas.microsoft.com/office/2006/metadata/properties/metaAttributes" ct:_="" ma:_="" ma:contentTypeName="Draft" ma:contentTypeID="0x0101008B4DD370EC31429186F3AD49F0D3098F0085FE244E64854B08B21878B1FF941C5700D771CAD3F7584E3B92614EB586C30F6D00842EE9A58587704DB63BD1AD2FC5038F" ma:contentTypeVersion="20" ma:contentTypeDescription="Create a new document." ma:contentTypeScope="" ma:versionID="3e2ea750760605062e828b3a5745240e">
  <xsd:schema xmlns:xsd="http://www.w3.org/2001/XMLSchema" xmlns:xs="http://www.w3.org/2001/XMLSchema" xmlns:p="http://schemas.microsoft.com/office/2006/metadata/properties" xmlns:ns2="54c4cd27-f286-408f-9ce0-33c1e0f3ab39" xmlns:ns3="b855e8c8-0866-41c2-bf69-0bb389390676" xmlns:ns4="b598d352-c6a7-4aae-83d5-4d74878f8938" xmlns:ns5="ca82dde9-3436-4d3d-bddd-d31447390034" xmlns:ns6="c9f238dd-bb73-4aef-a7a5-d644ad823e52" targetNamespace="http://schemas.microsoft.com/office/2006/metadata/properties" ma:root="true" ma:fieldsID="0eb9d9ff8c5d23960779577a9ff16d34" ns2:_="" ns3:_="" ns4:_="" ns5:_="" ns6:_="">
    <xsd:import namespace="54c4cd27-f286-408f-9ce0-33c1e0f3ab39"/>
    <xsd:import namespace="b855e8c8-0866-41c2-bf69-0bb389390676"/>
    <xsd:import namespace="b598d352-c6a7-4aae-83d5-4d74878f8938"/>
    <xsd:import namespace="ca82dde9-3436-4d3d-bddd-d31447390034"/>
    <xsd:import namespace="c9f238dd-bb73-4aef-a7a5-d644ad823e52"/>
    <xsd:element name="properties">
      <xsd:complexType>
        <xsd:sequence>
          <xsd:element name="documentManagement">
            <xsd:complexType>
              <xsd:all>
                <xsd:element ref="ns2:OECDKimStatus" minOccurs="0"/>
                <xsd:element ref="ns4:OECDProjectLookup" minOccurs="0"/>
                <xsd:element ref="ns5:aa366335bba64f7186c6f91b1ae503c2" minOccurs="0"/>
                <xsd:element ref="ns4:OECDProjectManager" minOccurs="0"/>
                <xsd:element ref="ns4:OECDProjectMembers" minOccurs="0"/>
                <xsd:element ref="ns4:OECDTagsCache" minOccurs="0"/>
                <xsd:element ref="ns4:OECDPinnedBy" minOccurs="0"/>
                <xsd:element ref="ns6:eShareCountryTaxHTField0" minOccurs="0"/>
                <xsd:element ref="ns6:eShareTopicTaxHTField0" minOccurs="0"/>
                <xsd:element ref="ns6:eShareKeywordsTaxHTField0" minOccurs="0"/>
                <xsd:element ref="ns2:OECDDocumentType" minOccurs="0"/>
                <xsd:element ref="ns5:pb5335f8765c484a86ddd10580650a95" minOccurs="0"/>
                <xsd:element ref="ns4:Project_x003A_ID1" minOccurs="0"/>
                <xsd:element ref="ns4:Project_x003a_ID" minOccurs="0"/>
                <xsd:element ref="ns2:OECDYear" minOccurs="0"/>
                <xsd:element ref="ns5:TaxCatchAllLabel" minOccurs="0"/>
                <xsd:element ref="ns5:TaxCatchAll" minOccurs="0"/>
                <xsd:element ref="ns6:eShareCommitteeTaxHTField0" minOccurs="0"/>
                <xsd:element ref="ns6:eSharePWBTaxHTField0" minOccurs="0"/>
                <xsd:element ref="ns4:OECDMainProject" minOccurs="0"/>
                <xsd:element ref="ns3:OECDExpirationDate" minOccurs="0"/>
                <xsd:element ref="ns4:mb326be20e034b828e1e0700072449b0" minOccurs="0"/>
                <xsd:element ref="ns4:d0db5dc05a5e404e9147bc85a79f78c9" minOccurs="0"/>
                <xsd:element ref="ns3:g81a30e168d04bd48fa13367ae60bbde" minOccurs="0"/>
                <xsd:element ref="ns4:g7e8a50fa859465b9bf3e8920321b1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5" nillable="true" ma:displayName="Kim status" ma:default="Draft" ma:description="" ma:format="Dropdown" ma:hidden="true" ma:internalName="OECDKimStatus">
      <xsd:simpleType>
        <xsd:restriction base="dms:Choice">
          <xsd:enumeration value="Draft"/>
          <xsd:enumeration value="Final"/>
        </xsd:restriction>
      </xsd:simpleType>
    </xsd:element>
    <xsd:element name="OECDDocumentType" ma:index="23" nillable="true" ma:displayName="Document Type" ma:description="" ma:hidden="true" ma:internalName="OECDDocumentType" ma:readOnly="false">
      <xsd:simpleType>
        <xsd:restriction base="dms:Text"/>
      </xsd:simpleType>
    </xsd:element>
    <xsd:element name="OECDYear" ma:index="27" nillable="true" ma:displayName="Year" ma:description="Single line of text form Today" ma:internalName="OECD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55e8c8-0866-41c2-bf69-0bb389390676" elementFormDefault="qualified">
    <xsd:import namespace="http://schemas.microsoft.com/office/2006/documentManagement/types"/>
    <xsd:import namespace="http://schemas.microsoft.com/office/infopath/2007/PartnerControls"/>
    <xsd:element name="OECDExpirationDate" ma:index="37" nillable="true" ma:displayName="Expiration Date" ma:default="[today]" ma:description="" ma:format="DateOnly" ma:indexed="true" ma:internalName="OECDExpirationDate" ma:readOnly="false">
      <xsd:simpleType>
        <xsd:restriction base="dms:DateTime"/>
      </xsd:simpleType>
    </xsd:element>
    <xsd:element name="g81a30e168d04bd48fa13367ae60bbde" ma:index="40" nillable="true" ma:taxonomy="true" ma:internalName="g81a30e168d04bd48fa13367ae60bbde" ma:taxonomyFieldName="OECDHorizontalProjects" ma:displayName="Horizontal project" ma:default="" ma:fieldId="081a30e1-68d0-4bd4-8fa1-3367ae60bbde"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98d352-c6a7-4aae-83d5-4d74878f8938" elementFormDefault="qualified">
    <xsd:import namespace="http://schemas.microsoft.com/office/2006/documentManagement/types"/>
    <xsd:import namespace="http://schemas.microsoft.com/office/infopath/2007/PartnerControls"/>
    <xsd:element name="OECDProjectLookup" ma:index="6" nillable="true" ma:displayName="Project" ma:hidden="true" ma:indexed="true" ma:list="28325a2a-103b-489e-b0c4-3caa1ffddb48" ma:internalName="OECDProjectLookup" ma:readOnly="false" ma:showField="OECDShortProjectName" ma:web="b598d352-c6a7-4aae-83d5-4d74878f8938">
      <xsd:simpleType>
        <xsd:restriction base="dms:Unknown"/>
      </xsd:simpleType>
    </xsd:element>
    <xsd:element name="OECDProjectManager" ma:index="14"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5"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TagsCache" ma:index="17" nillable="true" ma:displayName="Tags cache" ma:description="" ma:hidden="true" ma:internalName="OECDTagsCache">
      <xsd:simpleType>
        <xsd:restriction base="dms:Note"/>
      </xsd:simpleType>
    </xsd:element>
    <xsd:element name="OECDPinnedBy" ma:index="18"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3A_ID1" ma:index="25" nillable="true" ma:displayName="Project:ID" ma:list="28325a2a-103b-489e-b0c4-3caa1ffddb48" ma:internalName="Project_x003A_ID1" ma:readOnly="true" ma:showField="ID" ma:web="b598d352-c6a7-4aae-83d5-4d74878f8938">
      <xsd:simpleType>
        <xsd:restriction base="dms:Lookup"/>
      </xsd:simpleType>
    </xsd:element>
    <xsd:element name="Project_x003a_ID" ma:index="26" nillable="true" ma:displayName="Project:ID" ma:hidden="true" ma:list="28325a2a-103b-489e-b0c4-3caa1ffddb48" ma:internalName="Project_x003A_ID" ma:readOnly="true" ma:showField="ID" ma:web="b598d352-c6a7-4aae-83d5-4d74878f8938">
      <xsd:simpleType>
        <xsd:restriction base="dms:Lookup"/>
      </xsd:simpleType>
    </xsd:element>
    <xsd:element name="OECDMainProject" ma:index="36" nillable="true" ma:displayName="Main project" ma:description="" ma:hidden="true" ma:list="28325a2a-103b-489e-b0c4-3caa1ffddb48" ma:internalName="OECDMainProject" ma:readOnly="false" ma:showField="OECDShortProjectName">
      <xsd:simpleType>
        <xsd:restriction base="dms:Unknown"/>
      </xsd:simpleType>
    </xsd:element>
    <xsd:element name="mb326be20e034b828e1e0700072449b0" ma:index="38" nillable="true" ma:displayName="Project partners_0" ma:hidden="true" ma:internalName="mb326be20e034b828e1e0700072449b0">
      <xsd:simpleType>
        <xsd:restriction base="dms:Note"/>
      </xsd:simpleType>
    </xsd:element>
    <xsd:element name="d0db5dc05a5e404e9147bc85a79f78c9" ma:index="39" nillable="true" ma:displayName="Deliverable owner_0" ma:hidden="true" ma:internalName="d0db5dc05a5e404e9147bc85a79f78c9">
      <xsd:simpleType>
        <xsd:restriction base="dms:Note"/>
      </xsd:simpleType>
    </xsd:element>
    <xsd:element name="g7e8a50fa859465b9bf3e8920321b125" ma:index="41" nillable="true" ma:taxonomy="true" ma:internalName="g7e8a50fa859465b9bf3e8920321b125" ma:taxonomyFieldName="OECDProjectOwnerStructure" ma:displayName="Project owner" ma:indexed="true" ma:readOnly="false" ma:default="" ma:fieldId="07e8a50f-a859-465b-9bf3-e8920321b125" ma:sspId="27ec883c-a62c-444f-a935-fcddb579e39d" ma:termSetId="aeec4dcb-19ee-4bc0-941f-681845b568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aa366335bba64f7186c6f91b1ae503c2" ma:index="13" nillable="true" ma:displayName="Country_0" ma:hidden="true" ma:internalName="aa366335bba64f7186c6f91b1ae503c2">
      <xsd:simpleType>
        <xsd:restriction base="dms:Note"/>
      </xsd:simpleType>
    </xsd:element>
    <xsd:element name="pb5335f8765c484a86ddd10580650a95" ma:index="24" nillable="true" ma:displayName="Topic_0" ma:hidden="true" ma:internalName="pb5335f8765c484a86ddd10580650a95">
      <xsd:simpleType>
        <xsd:restriction base="dms:Note"/>
      </xsd:simpleType>
    </xsd:element>
    <xsd:element name="TaxCatchAllLabel" ma:index="28" nillable="true" ma:displayName="Taxonomy Catch All Column1" ma:description="" ma:hidden="true" ma:list="{e32c7df2-3e97-41ed-8365-b4ba9507881a}" ma:internalName="TaxCatchAllLabel" ma:readOnly="true" ma:showField="CatchAllDataLabel" ma:web="b855e8c8-0866-41c2-bf69-0bb389390676">
      <xsd:complexType>
        <xsd:complexContent>
          <xsd:extension base="dms:MultiChoiceLookup">
            <xsd:sequence>
              <xsd:element name="Value" type="dms:Lookup" maxOccurs="unbounded" minOccurs="0" nillable="true"/>
            </xsd:sequence>
          </xsd:extension>
        </xsd:complexContent>
      </xsd:complexType>
    </xsd:element>
    <xsd:element name="TaxCatchAll" ma:index="31" nillable="true" ma:displayName="Taxonomy Catch All Column" ma:description="" ma:hidden="true" ma:list="{e32c7df2-3e97-41ed-8365-b4ba9507881a}" ma:internalName="TaxCatchAll" ma:showField="CatchAllData" ma:web="b855e8c8-0866-41c2-bf69-0bb3893906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20" nillable="true" ma:taxonomy="true" ma:internalName="eShareCountryTaxHTField0" ma:taxonomyFieldName="OECDCountry" ma:displayName="Country"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21"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2"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32" nillable="true" ma:taxonomy="true" ma:internalName="eShareCommitteeTaxHTField0" ma:taxonomyFieldName="OECDCommittee" ma:displayName="Committee" ma:readOnly="false"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34" nillable="true" ma:taxonomy="true" ma:internalName="eSharePWBTaxHTField0" ma:taxonomyFieldName="OECDPWB" ma:displayName="PWB" ma:readOnly="false"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36371A-68C8-4BBA-8019-96B5C641F369}"/>
</file>

<file path=customXml/itemProps2.xml><?xml version="1.0" encoding="utf-8"?>
<ds:datastoreItem xmlns:ds="http://schemas.openxmlformats.org/officeDocument/2006/customXml" ds:itemID="{A5AD8DE4-F197-4AD9-9CF5-7E95B9A830D1}"/>
</file>

<file path=customXml/itemProps3.xml><?xml version="1.0" encoding="utf-8"?>
<ds:datastoreItem xmlns:ds="http://schemas.openxmlformats.org/officeDocument/2006/customXml" ds:itemID="{39F2FFF2-1C97-437B-B0D5-79D223AEFA89}"/>
</file>

<file path=customXml/itemProps4.xml><?xml version="1.0" encoding="utf-8"?>
<ds:datastoreItem xmlns:ds="http://schemas.openxmlformats.org/officeDocument/2006/customXml" ds:itemID="{EAC2B386-4B33-458A-9D65-115815E30287}"/>
</file>

<file path=customXml/itemProps5.xml><?xml version="1.0" encoding="utf-8"?>
<ds:datastoreItem xmlns:ds="http://schemas.openxmlformats.org/officeDocument/2006/customXml" ds:itemID="{10D49B7A-60E2-43BF-B4A9-CE160E823AB8}"/>
</file>

<file path=docProps/app.xml><?xml version="1.0" encoding="utf-8"?>
<Properties xmlns="http://schemas.openxmlformats.org/officeDocument/2006/extended-properties" xmlns:vt="http://schemas.openxmlformats.org/officeDocument/2006/docPropsVTypes">
  <Template>4E15E2B9.dotm</Template>
  <TotalTime>73</TotalTime>
  <Pages>3</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11754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GIRODET Catherine</dc:creator>
  <cp:lastModifiedBy>BOLTON Esther</cp:lastModifiedBy>
  <cp:revision>7</cp:revision>
  <dcterms:created xsi:type="dcterms:W3CDTF">2015-10-26T15:10:00Z</dcterms:created>
  <dcterms:modified xsi:type="dcterms:W3CDTF">2015-11-13T10:39:00Z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0x0101008B4DD370EC31429186F3AD49F0D3098F0085FE244E64854B08B21878B1FF941C5700D771CAD3F7584E3B92614EB586C30F6D00842EE9A58587704DB63BD1AD2FC5038F</vt:lpwstr>
  </property>
  <property fmtid="{D5CDD505-2E9C-101B-9397-08002B2CF9AE}" pid="3" name="OECDProjectOwnerStructure">
    <vt:lpwstr>165;#STD/NAD|c16a9c4d-ab4d-4ed8-a373-1b3a73c00a22</vt:lpwstr>
  </property>
  <property fmtid="{D5CDD505-2E9C-101B-9397-08002B2CF9AE}" pid="4" name="OECDTopic">
    <vt:lpwstr>207;#Annual national accounts|e4699b97-d327-4aaf-86d4-29bfb5367b8c</vt:lpwstr>
  </property>
  <property fmtid="{D5CDD505-2E9C-101B-9397-08002B2CF9AE}" pid="5" name="OECDProjectPageLink">
    <vt:lpwstr>262</vt:lpwstr>
  </property>
  <property fmtid="{D5CDD505-2E9C-101B-9397-08002B2CF9AE}" pid="6" name="OECDCountry">
    <vt:lpwstr/>
  </property>
  <property fmtid="{D5CDD505-2E9C-101B-9397-08002B2CF9AE}" pid="7" name="OECDCommittee">
    <vt:lpwstr>41;#Working Party on National Accounts|f417eecb-38cf-48e4-9260-d661ef8d58d7</vt:lpwstr>
  </property>
  <property fmtid="{D5CDD505-2E9C-101B-9397-08002B2CF9AE}" pid="8" name="OECDProjectPartnersStructure">
    <vt:lpwstr/>
  </property>
  <property fmtid="{D5CDD505-2E9C-101B-9397-08002B2CF9AE}" pid="9" name="OECDPWB">
    <vt:lpwstr>209;#6.2.1.1.2 National Accounts at a Glance|0aa9b00c-da1a-4f14-8ec8-d0789e209b09</vt:lpwstr>
  </property>
  <property fmtid="{D5CDD505-2E9C-101B-9397-08002B2CF9AE}" pid="10" name="OECDKeywords">
    <vt:lpwstr>208;#NAAG 2015|60fea018-3192-40cc-9ce3-90bc11f9b980</vt:lpwstr>
  </property>
  <property fmtid="{D5CDD505-2E9C-101B-9397-08002B2CF9AE}" pid="11" name="eShareOrganisationTaxHTField0">
    <vt:lpwstr/>
  </property>
  <property fmtid="{D5CDD505-2E9C-101B-9397-08002B2CF9AE}" pid="12" name="OECDHorizontalProjects">
    <vt:lpwstr/>
  </property>
  <property fmtid="{D5CDD505-2E9C-101B-9397-08002B2CF9AE}" pid="13" name="OECDOrganisation">
    <vt:lpwstr/>
  </property>
</Properties>
</file>