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8232" w14:textId="46A041D4" w:rsidR="00D9639F" w:rsidRDefault="00894840" w:rsidP="00016488">
      <w:pPr>
        <w:pStyle w:val="Heading1"/>
        <w:jc w:val="both"/>
        <w:rPr>
          <w:lang w:val="en-US"/>
        </w:rPr>
      </w:pPr>
      <w:bookmarkStart w:id="0" w:name="_Hlk190453163"/>
      <w:r>
        <w:rPr>
          <w:lang w:val="en-US"/>
        </w:rPr>
        <w:t>Fishing fleet</w:t>
      </w:r>
    </w:p>
    <w:bookmarkEnd w:id="0"/>
    <w:p w14:paraId="4F338D32" w14:textId="1B423459" w:rsidR="00D865C7" w:rsidRDefault="00D865C7" w:rsidP="00016488">
      <w:pPr>
        <w:pStyle w:val="Heading2"/>
        <w:jc w:val="both"/>
        <w:rPr>
          <w:lang w:val="en-US"/>
        </w:rPr>
      </w:pPr>
      <w:r>
        <w:rPr>
          <w:lang w:val="en-US"/>
        </w:rPr>
        <w:t>General notes</w:t>
      </w:r>
    </w:p>
    <w:p w14:paraId="40D983C5" w14:textId="77777777" w:rsidR="00B7542C" w:rsidRPr="00894840" w:rsidRDefault="00894840" w:rsidP="00B7542C">
      <w:pPr>
        <w:jc w:val="both"/>
        <w:rPr>
          <w:lang w:val="en-US"/>
        </w:rPr>
      </w:pPr>
      <w:r w:rsidRPr="00894840">
        <w:rPr>
          <w:lang w:val="en-US"/>
        </w:rPr>
        <w:t xml:space="preserve">The dataset covers the number and gross tonnage of national active fishing vessels—vessels that, at the time of reporting, are active and engaged </w:t>
      </w:r>
      <w:r w:rsidR="00B7542C">
        <w:rPr>
          <w:lang w:val="en-US"/>
        </w:rPr>
        <w:t>only</w:t>
      </w:r>
      <w:r w:rsidRPr="00894840">
        <w:rPr>
          <w:lang w:val="en-US"/>
        </w:rPr>
        <w:t xml:space="preserve"> in catching operations. This includes all types of vessels: industrial and artisanal, motorized and unmotorized, decked and undecked, fishing in marine and inland waters. Data are broken down by length classes</w:t>
      </w:r>
      <w:r w:rsidR="00B7542C">
        <w:rPr>
          <w:lang w:val="en-US"/>
        </w:rPr>
        <w:t xml:space="preserve"> (</w:t>
      </w:r>
      <w:r w:rsidR="00B7542C" w:rsidRPr="00894840">
        <w:rPr>
          <w:lang w:val="en-US"/>
        </w:rPr>
        <w:t xml:space="preserve">Length OverAll </w:t>
      </w:r>
      <w:r w:rsidR="00B7542C">
        <w:rPr>
          <w:lang w:val="en-US"/>
        </w:rPr>
        <w:t xml:space="preserve">- </w:t>
      </w:r>
      <w:r w:rsidR="00B7542C" w:rsidRPr="00894840">
        <w:rPr>
          <w:lang w:val="en-US"/>
        </w:rPr>
        <w:t>LOA)</w:t>
      </w:r>
      <w:r w:rsidRPr="00894840">
        <w:rPr>
          <w:lang w:val="en-US"/>
        </w:rPr>
        <w:t>, expressed in meters.</w:t>
      </w:r>
      <w:r w:rsidR="00B7542C">
        <w:rPr>
          <w:lang w:val="en-US"/>
        </w:rPr>
        <w:t xml:space="preserve"> </w:t>
      </w:r>
      <w:r w:rsidR="00B7542C" w:rsidRPr="00894840">
        <w:rPr>
          <w:lang w:val="en-US"/>
        </w:rPr>
        <w:t>LOA is the most frequently used and preferred measure of the length of a fishing vessel; it refers to the maximum length of a vessel from the two points on the hull most distant from each other, measured perpendicular to the waterline.</w:t>
      </w:r>
    </w:p>
    <w:p w14:paraId="70CB5C2D" w14:textId="77777777" w:rsidR="00894840" w:rsidRPr="00894840" w:rsidRDefault="00894840" w:rsidP="00894840">
      <w:pPr>
        <w:jc w:val="both"/>
        <w:rPr>
          <w:lang w:val="en-US"/>
        </w:rPr>
      </w:pPr>
      <w:r w:rsidRPr="00894840">
        <w:rPr>
          <w:lang w:val="en-US"/>
        </w:rPr>
        <w:t>Non-fishing support vessels such as fish carriers, motherships, research vessels, etc. are excluded.</w:t>
      </w:r>
    </w:p>
    <w:p w14:paraId="19445EF2" w14:textId="77777777" w:rsidR="00894840" w:rsidRDefault="00894840" w:rsidP="00894840">
      <w:pPr>
        <w:jc w:val="both"/>
        <w:rPr>
          <w:lang w:val="en-US"/>
        </w:rPr>
      </w:pPr>
      <w:r w:rsidRPr="00894840">
        <w:rPr>
          <w:lang w:val="en-US"/>
        </w:rPr>
        <w:t>The fishing fleet data collection is part of the more comprehensive data gathering carried out annually by the OECD Committee for Fisheries (COFI) from OECD members and participating non-OECD economies.</w:t>
      </w:r>
    </w:p>
    <w:p w14:paraId="50187A4E" w14:textId="77777777" w:rsidR="00B7542C" w:rsidRDefault="00B7542C" w:rsidP="00B7542C">
      <w:pPr>
        <w:jc w:val="both"/>
        <w:rPr>
          <w:lang w:val="en-US"/>
        </w:rPr>
      </w:pPr>
      <w:bookmarkStart w:id="1" w:name="_Hlk193893376"/>
      <w:r w:rsidRPr="00894840">
        <w:rPr>
          <w:lang w:val="en-US"/>
        </w:rPr>
        <w:t xml:space="preserve">The statistical population is the set of countries participating in the work of the OECD Committee for Fisheries (COFI), i.e. the OECD members plus some partners economies. </w:t>
      </w:r>
    </w:p>
    <w:bookmarkEnd w:id="1"/>
    <w:p w14:paraId="535785F5" w14:textId="77777777" w:rsidR="006F53A9" w:rsidRDefault="006F53A9" w:rsidP="006F53A9">
      <w:pPr>
        <w:jc w:val="both"/>
        <w:rPr>
          <w:lang w:val="en-US"/>
        </w:rPr>
      </w:pPr>
      <w:r>
        <w:rPr>
          <w:lang w:val="en-US"/>
        </w:rPr>
        <w:t>T</w:t>
      </w:r>
      <w:r w:rsidRPr="00D865C7">
        <w:rPr>
          <w:lang w:val="en-US"/>
        </w:rPr>
        <w:t>o facilitate analysis and comparisons over time, historical data for OECD members have been provided over as long a period as possible, often even before a country became a member of the Organisation.</w:t>
      </w:r>
      <w:r>
        <w:rPr>
          <w:lang w:val="en-US"/>
        </w:rPr>
        <w:t xml:space="preserve"> </w:t>
      </w:r>
      <w:r w:rsidRPr="00D865C7">
        <w:rPr>
          <w:lang w:val="en-US"/>
        </w:rPr>
        <w:t xml:space="preserve">Information on the membership dates of all OECD </w:t>
      </w:r>
      <w:r>
        <w:rPr>
          <w:lang w:val="en-US"/>
        </w:rPr>
        <w:t>members</w:t>
      </w:r>
      <w:r w:rsidRPr="00D865C7">
        <w:rPr>
          <w:lang w:val="en-US"/>
        </w:rPr>
        <w:t xml:space="preserve"> can be found </w:t>
      </w:r>
      <w:r>
        <w:rPr>
          <w:lang w:val="en-US"/>
        </w:rPr>
        <w:t xml:space="preserve">on the OECD </w:t>
      </w:r>
      <w:hyperlink r:id="rId7" w:history="1">
        <w:r>
          <w:rPr>
            <w:rStyle w:val="Hyperlink"/>
            <w:lang w:val="en-US"/>
          </w:rPr>
          <w:t>website</w:t>
        </w:r>
      </w:hyperlink>
      <w:r w:rsidRPr="00D865C7">
        <w:rPr>
          <w:lang w:val="en-US"/>
        </w:rPr>
        <w:t>.</w:t>
      </w:r>
    </w:p>
    <w:p w14:paraId="35F91097" w14:textId="1ABD6CA4" w:rsidR="00894840" w:rsidRDefault="00894840" w:rsidP="00894840">
      <w:pPr>
        <w:jc w:val="both"/>
        <w:rPr>
          <w:lang w:val="en-US"/>
        </w:rPr>
      </w:pPr>
      <w:r w:rsidRPr="00894840">
        <w:rPr>
          <w:lang w:val="en-US"/>
        </w:rPr>
        <w:t>Data are collected from Fisheries Ministries, National Statistics Offices and other institutions designated as an official data source.</w:t>
      </w:r>
    </w:p>
    <w:p w14:paraId="2F0FD25E" w14:textId="6EFB33A4" w:rsidR="00894840" w:rsidRPr="00894840" w:rsidRDefault="00894840" w:rsidP="00894840">
      <w:pPr>
        <w:jc w:val="both"/>
        <w:rPr>
          <w:lang w:val="en-US"/>
        </w:rPr>
      </w:pPr>
      <w:r w:rsidRPr="00894840">
        <w:rPr>
          <w:lang w:val="en-US"/>
        </w:rPr>
        <w:t>For countries that are part of the European Union, fishing fleet data are directly sourced from the Eurostat dataset 'Fishing fleet by age, length and gross tonnage (fish_fleet_alt)'.</w:t>
      </w:r>
    </w:p>
    <w:p w14:paraId="6D02DAA5" w14:textId="10B4A6B2" w:rsidR="00894840" w:rsidRDefault="00894840" w:rsidP="00894840">
      <w:pPr>
        <w:jc w:val="both"/>
        <w:rPr>
          <w:lang w:val="en-US"/>
        </w:rPr>
      </w:pPr>
      <w:r w:rsidRPr="00894840">
        <w:rPr>
          <w:lang w:val="en-US"/>
        </w:rPr>
        <w:t xml:space="preserve">Data are collected in number of vessels and </w:t>
      </w:r>
      <w:hyperlink r:id="rId8" w:history="1">
        <w:r w:rsidRPr="00894840">
          <w:rPr>
            <w:rStyle w:val="Hyperlink"/>
            <w:lang w:val="en-US"/>
          </w:rPr>
          <w:t>gross tonnage</w:t>
        </w:r>
      </w:hyperlink>
      <w:r w:rsidRPr="00894840">
        <w:rPr>
          <w:lang w:val="en-US"/>
        </w:rPr>
        <w:t xml:space="preserve"> (GT) as defined by the London Convention 1969.</w:t>
      </w:r>
    </w:p>
    <w:p w14:paraId="65538A12" w14:textId="77777777" w:rsidR="00894840" w:rsidRDefault="00894840" w:rsidP="00894840">
      <w:pPr>
        <w:jc w:val="both"/>
        <w:rPr>
          <w:lang w:val="en-US"/>
        </w:rPr>
      </w:pPr>
      <w:r w:rsidRPr="00894840">
        <w:rPr>
          <w:lang w:val="en-US"/>
        </w:rPr>
        <w:t>In international law, as well as in practice, two measurements of tonnage of ships have existed side by side: Gross Registered Tonnage (GRT) defined by the Oslo Convention (1947), and Gross Tonnage (GT) defined by the London Convention (1969). Although the London Convention has been adopted for vessels of 24 m in length and over, for many vessels only data by the Oslo Convention are available. The two measurements produce very different tonnage values, and the situation may vary from country to country, as measuring units defined at national level can also be used to determine the tonnage of vessels operating without an international tonnage certificate.</w:t>
      </w:r>
    </w:p>
    <w:p w14:paraId="7477BD91" w14:textId="77777777" w:rsidR="00894840" w:rsidRDefault="00894840" w:rsidP="00894840">
      <w:pPr>
        <w:jc w:val="both"/>
        <w:rPr>
          <w:lang w:val="en-US"/>
        </w:rPr>
      </w:pPr>
      <w:r w:rsidRPr="00894840">
        <w:rPr>
          <w:lang w:val="en-US"/>
        </w:rPr>
        <w:t>The Gross Tonnage for ships of 24 metres in length and over refers to the volume of all ship's enclosed spaces (from keel to funnel) measured to the outside of the hull framing.</w:t>
      </w:r>
    </w:p>
    <w:p w14:paraId="349F7989" w14:textId="2724D614" w:rsidR="00894840" w:rsidRPr="00894840" w:rsidRDefault="00894840" w:rsidP="00894840">
      <w:pPr>
        <w:jc w:val="both"/>
        <w:rPr>
          <w:lang w:val="en-US"/>
        </w:rPr>
      </w:pPr>
      <w:r w:rsidRPr="00894840">
        <w:rPr>
          <w:lang w:val="en-US"/>
        </w:rPr>
        <w:t xml:space="preserve">The methodological reference document for fisheries and aquaculture statistics covering also the definition of </w:t>
      </w:r>
      <w:hyperlink r:id="rId9" w:history="1">
        <w:r w:rsidRPr="00894840">
          <w:rPr>
            <w:rStyle w:val="Hyperlink"/>
            <w:lang w:val="en-US"/>
          </w:rPr>
          <w:t>fishing fleet</w:t>
        </w:r>
      </w:hyperlink>
      <w:r w:rsidRPr="00894840">
        <w:rPr>
          <w:lang w:val="en-US"/>
        </w:rPr>
        <w:t xml:space="preserve"> is the </w:t>
      </w:r>
      <w:hyperlink r:id="rId10" w:history="1">
        <w:r w:rsidRPr="00894840">
          <w:rPr>
            <w:rStyle w:val="Hyperlink"/>
            <w:lang w:val="en-US"/>
          </w:rPr>
          <w:t>CWP Handbook of Fishery Statistics</w:t>
        </w:r>
      </w:hyperlink>
      <w:r>
        <w:rPr>
          <w:lang w:val="en-US"/>
        </w:rPr>
        <w:t>.</w:t>
      </w:r>
    </w:p>
    <w:p w14:paraId="65065B54" w14:textId="77777777" w:rsidR="00894840" w:rsidRPr="00894840" w:rsidRDefault="00894840" w:rsidP="00894840">
      <w:pPr>
        <w:jc w:val="both"/>
        <w:rPr>
          <w:lang w:val="en-US"/>
        </w:rPr>
      </w:pPr>
      <w:r w:rsidRPr="00894840">
        <w:rPr>
          <w:lang w:val="en-US"/>
        </w:rPr>
        <w:lastRenderedPageBreak/>
        <w:t>The data provided by countries and disseminated by OECD are annual data.</w:t>
      </w:r>
    </w:p>
    <w:p w14:paraId="3FEA8832" w14:textId="14327F51" w:rsidR="00894840" w:rsidRPr="00894840" w:rsidRDefault="00894840" w:rsidP="00894840">
      <w:pPr>
        <w:jc w:val="both"/>
        <w:rPr>
          <w:lang w:val="en-US"/>
        </w:rPr>
      </w:pPr>
      <w:r w:rsidRPr="00894840">
        <w:rPr>
          <w:lang w:val="en-US"/>
        </w:rPr>
        <w:t xml:space="preserve">The data refer to the situation of the national fleets on 31 December of the reference year. For exceptions, please see the </w:t>
      </w:r>
      <w:r>
        <w:rPr>
          <w:lang w:val="en-US"/>
        </w:rPr>
        <w:t>notes on countries and areas.</w:t>
      </w:r>
    </w:p>
    <w:p w14:paraId="501BB03D" w14:textId="37F92890" w:rsidR="009C6623" w:rsidRDefault="00894840" w:rsidP="009C6623">
      <w:pPr>
        <w:jc w:val="both"/>
        <w:rPr>
          <w:lang w:val="en-US"/>
        </w:rPr>
      </w:pPr>
      <w:r w:rsidRPr="00894840">
        <w:rPr>
          <w:lang w:val="en-US"/>
        </w:rPr>
        <w:t xml:space="preserve">Data on fishing fleet are </w:t>
      </w:r>
      <w:r w:rsidR="009C6623" w:rsidRPr="00DC43E6">
        <w:rPr>
          <w:lang w:val="en-US"/>
        </w:rPr>
        <w:t xml:space="preserve">disseminated on-line in the </w:t>
      </w:r>
      <w:hyperlink r:id="rId11" w:history="1">
        <w:r w:rsidR="009C6623" w:rsidRPr="000A550D">
          <w:rPr>
            <w:rStyle w:val="Hyperlink"/>
            <w:lang w:val="en-US"/>
          </w:rPr>
          <w:t>Fisheries and Aquaculture</w:t>
        </w:r>
      </w:hyperlink>
      <w:r w:rsidR="009C6623" w:rsidRPr="00DC43E6">
        <w:rPr>
          <w:lang w:val="en-US"/>
        </w:rPr>
        <w:t xml:space="preserve"> statistics domain of OECD Data Explorer and in the biennial publication </w:t>
      </w:r>
      <w:hyperlink r:id="rId12" w:history="1">
        <w:r w:rsidR="009C6623" w:rsidRPr="000A550D">
          <w:rPr>
            <w:rStyle w:val="Hyperlink"/>
            <w:lang w:val="en-US"/>
          </w:rPr>
          <w:t>OECD Review of Fisheries</w:t>
        </w:r>
      </w:hyperlink>
      <w:r w:rsidR="009C6623">
        <w:rPr>
          <w:lang w:val="en-US"/>
        </w:rPr>
        <w:t xml:space="preserve">. </w:t>
      </w:r>
      <w:r w:rsidR="009C6623" w:rsidRPr="00894840">
        <w:rPr>
          <w:lang w:val="en-US"/>
        </w:rPr>
        <w:t xml:space="preserve">More information on fisheries policies and future challenges are available on the OECD dedicated </w:t>
      </w:r>
      <w:hyperlink r:id="rId13" w:history="1">
        <w:r w:rsidR="009C6623" w:rsidRPr="00576686">
          <w:rPr>
            <w:rStyle w:val="Hyperlink"/>
            <w:lang w:val="en-US"/>
          </w:rPr>
          <w:t>webpage</w:t>
        </w:r>
      </w:hyperlink>
      <w:r w:rsidR="009C6623" w:rsidRPr="00894840">
        <w:rPr>
          <w:lang w:val="en-US"/>
        </w:rPr>
        <w:t xml:space="preserve">. </w:t>
      </w:r>
    </w:p>
    <w:p w14:paraId="1D803C8B" w14:textId="514503BA" w:rsidR="000F1967" w:rsidRDefault="00D865C7" w:rsidP="009C6623">
      <w:pPr>
        <w:jc w:val="both"/>
        <w:rPr>
          <w:rFonts w:asciiTheme="majorHAnsi" w:eastAsiaTheme="majorEastAsia" w:hAnsiTheme="majorHAnsi" w:cstheme="majorBidi"/>
          <w:color w:val="2E74B5" w:themeColor="accent1" w:themeShade="BF"/>
          <w:sz w:val="32"/>
          <w:szCs w:val="32"/>
          <w:lang w:val="en-US"/>
        </w:rPr>
      </w:pPr>
      <w:r w:rsidRPr="00D865C7">
        <w:rPr>
          <w:lang w:val="en-US"/>
        </w:rPr>
        <w:t xml:space="preserve">For any further questions please contact: </w:t>
      </w:r>
      <w:hyperlink r:id="rId14" w:history="1">
        <w:r w:rsidRPr="00894840">
          <w:rPr>
            <w:rStyle w:val="Hyperlink"/>
            <w:lang w:val="en-US"/>
          </w:rPr>
          <w:t>tad.contact@oecd.org</w:t>
        </w:r>
      </w:hyperlink>
      <w:r>
        <w:rPr>
          <w:lang w:val="en-US"/>
        </w:rPr>
        <w:t>.</w:t>
      </w:r>
    </w:p>
    <w:sectPr w:rsidR="000F1967">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F3FF" w14:textId="77777777" w:rsidR="00662133" w:rsidRDefault="00662133" w:rsidP="00662133">
      <w:pPr>
        <w:spacing w:after="0" w:line="240" w:lineRule="auto"/>
      </w:pPr>
      <w:r>
        <w:separator/>
      </w:r>
    </w:p>
  </w:endnote>
  <w:endnote w:type="continuationSeparator" w:id="0">
    <w:p w14:paraId="66214B31" w14:textId="77777777" w:rsidR="00662133" w:rsidRDefault="00662133" w:rsidP="0066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665" w14:textId="0509CFCE" w:rsidR="00662133" w:rsidRDefault="00662133">
    <w:pPr>
      <w:pStyle w:val="Footer"/>
    </w:pPr>
    <w:r>
      <w:rPr>
        <w:noProof/>
      </w:rPr>
      <mc:AlternateContent>
        <mc:Choice Requires="wps">
          <w:drawing>
            <wp:anchor distT="0" distB="0" distL="0" distR="0" simplePos="0" relativeHeight="251659264" behindDoc="0" locked="0" layoutInCell="1" allowOverlap="1" wp14:anchorId="6475CE9A" wp14:editId="2F9B4569">
              <wp:simplePos x="635" y="635"/>
              <wp:positionH relativeFrom="page">
                <wp:align>center</wp:align>
              </wp:positionH>
              <wp:positionV relativeFrom="page">
                <wp:align>bottom</wp:align>
              </wp:positionV>
              <wp:extent cx="1720215" cy="357505"/>
              <wp:effectExtent l="0" t="0" r="13335" b="0"/>
              <wp:wrapNone/>
              <wp:docPr id="17951175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5CE9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47D" w14:textId="3130BBD9" w:rsidR="00662133" w:rsidRDefault="00662133">
    <w:pPr>
      <w:pStyle w:val="Footer"/>
    </w:pPr>
    <w:r>
      <w:rPr>
        <w:noProof/>
      </w:rPr>
      <mc:AlternateContent>
        <mc:Choice Requires="wps">
          <w:drawing>
            <wp:anchor distT="0" distB="0" distL="0" distR="0" simplePos="0" relativeHeight="251660288" behindDoc="0" locked="0" layoutInCell="1" allowOverlap="1" wp14:anchorId="35A34894" wp14:editId="07D4C5F8">
              <wp:simplePos x="914400" y="10074729"/>
              <wp:positionH relativeFrom="page">
                <wp:align>center</wp:align>
              </wp:positionH>
              <wp:positionV relativeFrom="page">
                <wp:align>bottom</wp:align>
              </wp:positionV>
              <wp:extent cx="1720215" cy="357505"/>
              <wp:effectExtent l="0" t="0" r="13335" b="0"/>
              <wp:wrapNone/>
              <wp:docPr id="96565265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34894"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D62" w14:textId="47C47E52" w:rsidR="00662133" w:rsidRDefault="00662133">
    <w:pPr>
      <w:pStyle w:val="Footer"/>
    </w:pPr>
    <w:r>
      <w:rPr>
        <w:noProof/>
      </w:rPr>
      <mc:AlternateContent>
        <mc:Choice Requires="wps">
          <w:drawing>
            <wp:anchor distT="0" distB="0" distL="0" distR="0" simplePos="0" relativeHeight="251658240" behindDoc="0" locked="0" layoutInCell="1" allowOverlap="1" wp14:anchorId="582EE9B4" wp14:editId="057049E2">
              <wp:simplePos x="635" y="635"/>
              <wp:positionH relativeFrom="page">
                <wp:align>center</wp:align>
              </wp:positionH>
              <wp:positionV relativeFrom="page">
                <wp:align>bottom</wp:align>
              </wp:positionV>
              <wp:extent cx="1720215" cy="357505"/>
              <wp:effectExtent l="0" t="0" r="13335" b="0"/>
              <wp:wrapNone/>
              <wp:docPr id="8265338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EE9B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74D" w14:textId="77777777" w:rsidR="00662133" w:rsidRDefault="00662133" w:rsidP="00662133">
      <w:pPr>
        <w:spacing w:after="0" w:line="240" w:lineRule="auto"/>
      </w:pPr>
      <w:r>
        <w:separator/>
      </w:r>
    </w:p>
  </w:footnote>
  <w:footnote w:type="continuationSeparator" w:id="0">
    <w:p w14:paraId="1550A069" w14:textId="77777777" w:rsidR="00662133" w:rsidRDefault="00662133" w:rsidP="00662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33"/>
    <w:rsid w:val="00016488"/>
    <w:rsid w:val="00022A84"/>
    <w:rsid w:val="000F1967"/>
    <w:rsid w:val="00105544"/>
    <w:rsid w:val="00126BAA"/>
    <w:rsid w:val="001723C4"/>
    <w:rsid w:val="001D34EF"/>
    <w:rsid w:val="00271951"/>
    <w:rsid w:val="00576686"/>
    <w:rsid w:val="005B4FDB"/>
    <w:rsid w:val="00634877"/>
    <w:rsid w:val="00662133"/>
    <w:rsid w:val="006978B8"/>
    <w:rsid w:val="006F53A9"/>
    <w:rsid w:val="00746063"/>
    <w:rsid w:val="008405F2"/>
    <w:rsid w:val="00890381"/>
    <w:rsid w:val="00894840"/>
    <w:rsid w:val="00956940"/>
    <w:rsid w:val="009C6623"/>
    <w:rsid w:val="009D0A1F"/>
    <w:rsid w:val="00AC360E"/>
    <w:rsid w:val="00AD25F1"/>
    <w:rsid w:val="00AD2884"/>
    <w:rsid w:val="00B7542C"/>
    <w:rsid w:val="00BD6974"/>
    <w:rsid w:val="00CF1F58"/>
    <w:rsid w:val="00D432F6"/>
    <w:rsid w:val="00D865C7"/>
    <w:rsid w:val="00D9639F"/>
    <w:rsid w:val="00DE7871"/>
    <w:rsid w:val="00F620B4"/>
    <w:rsid w:val="00F9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FEF"/>
  <w15:chartTrackingRefBased/>
  <w15:docId w15:val="{75DC5A13-6E36-41C9-B511-C92D0DC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2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21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1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1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21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21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1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1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33"/>
    <w:rPr>
      <w:rFonts w:eastAsiaTheme="majorEastAsia" w:cstheme="majorBidi"/>
      <w:color w:val="272727" w:themeColor="text1" w:themeTint="D8"/>
    </w:rPr>
  </w:style>
  <w:style w:type="paragraph" w:styleId="Title">
    <w:name w:val="Title"/>
    <w:basedOn w:val="Normal"/>
    <w:next w:val="Normal"/>
    <w:link w:val="TitleChar"/>
    <w:uiPriority w:val="10"/>
    <w:qFormat/>
    <w:rsid w:val="0066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3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33"/>
    <w:rPr>
      <w:i/>
      <w:iCs/>
      <w:color w:val="404040" w:themeColor="text1" w:themeTint="BF"/>
    </w:rPr>
  </w:style>
  <w:style w:type="paragraph" w:styleId="ListParagraph">
    <w:name w:val="List Paragraph"/>
    <w:basedOn w:val="Normal"/>
    <w:uiPriority w:val="34"/>
    <w:qFormat/>
    <w:rsid w:val="00662133"/>
    <w:pPr>
      <w:ind w:left="720"/>
      <w:contextualSpacing/>
    </w:pPr>
  </w:style>
  <w:style w:type="character" w:styleId="IntenseEmphasis">
    <w:name w:val="Intense Emphasis"/>
    <w:basedOn w:val="DefaultParagraphFont"/>
    <w:uiPriority w:val="21"/>
    <w:qFormat/>
    <w:rsid w:val="00662133"/>
    <w:rPr>
      <w:i/>
      <w:iCs/>
      <w:color w:val="2E74B5" w:themeColor="accent1" w:themeShade="BF"/>
    </w:rPr>
  </w:style>
  <w:style w:type="paragraph" w:styleId="IntenseQuote">
    <w:name w:val="Intense Quote"/>
    <w:basedOn w:val="Normal"/>
    <w:next w:val="Normal"/>
    <w:link w:val="IntenseQuoteChar"/>
    <w:uiPriority w:val="30"/>
    <w:qFormat/>
    <w:rsid w:val="00662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133"/>
    <w:rPr>
      <w:i/>
      <w:iCs/>
      <w:color w:val="2E74B5" w:themeColor="accent1" w:themeShade="BF"/>
    </w:rPr>
  </w:style>
  <w:style w:type="character" w:styleId="IntenseReference">
    <w:name w:val="Intense Reference"/>
    <w:basedOn w:val="DefaultParagraphFont"/>
    <w:uiPriority w:val="32"/>
    <w:qFormat/>
    <w:rsid w:val="00662133"/>
    <w:rPr>
      <w:b/>
      <w:bCs/>
      <w:smallCaps/>
      <w:color w:val="2E74B5" w:themeColor="accent1" w:themeShade="BF"/>
      <w:spacing w:val="5"/>
    </w:rPr>
  </w:style>
  <w:style w:type="paragraph" w:styleId="Footer">
    <w:name w:val="footer"/>
    <w:basedOn w:val="Normal"/>
    <w:link w:val="FooterChar"/>
    <w:uiPriority w:val="99"/>
    <w:unhideWhenUsed/>
    <w:rsid w:val="0066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33"/>
  </w:style>
  <w:style w:type="character" w:styleId="Hyperlink">
    <w:name w:val="Hyperlink"/>
    <w:basedOn w:val="DefaultParagraphFont"/>
    <w:uiPriority w:val="99"/>
    <w:unhideWhenUsed/>
    <w:rsid w:val="00AD2884"/>
    <w:rPr>
      <w:color w:val="0563C1" w:themeColor="hyperlink"/>
      <w:u w:val="single"/>
    </w:rPr>
  </w:style>
  <w:style w:type="character" w:styleId="UnresolvedMention">
    <w:name w:val="Unresolved Mention"/>
    <w:basedOn w:val="DefaultParagraphFont"/>
    <w:uiPriority w:val="99"/>
    <w:semiHidden/>
    <w:unhideWhenUsed/>
    <w:rsid w:val="00AD2884"/>
    <w:rPr>
      <w:color w:val="605E5C"/>
      <w:shd w:val="clear" w:color="auto" w:fill="E1DFDD"/>
    </w:rPr>
  </w:style>
  <w:style w:type="character" w:styleId="FollowedHyperlink">
    <w:name w:val="FollowedHyperlink"/>
    <w:basedOn w:val="DefaultParagraphFont"/>
    <w:uiPriority w:val="99"/>
    <w:semiHidden/>
    <w:unhideWhenUsed/>
    <w:rsid w:val="00172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1485">
      <w:bodyDiv w:val="1"/>
      <w:marLeft w:val="0"/>
      <w:marRight w:val="0"/>
      <w:marTop w:val="0"/>
      <w:marBottom w:val="0"/>
      <w:divBdr>
        <w:top w:val="none" w:sz="0" w:space="0" w:color="auto"/>
        <w:left w:val="none" w:sz="0" w:space="0" w:color="auto"/>
        <w:bottom w:val="none" w:sz="0" w:space="0" w:color="auto"/>
        <w:right w:val="none" w:sz="0" w:space="0" w:color="auto"/>
      </w:divBdr>
    </w:div>
    <w:div w:id="13719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cwp-on-fishery-statistics/handbook/capture-fisheries-statistics/fishery-fleet/en/" TargetMode="External"/><Relationship Id="rId13" Type="http://schemas.openxmlformats.org/officeDocument/2006/relationships/hyperlink" Target="https://www.oecd.org/en/topics/fisheries-and-aquacultur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ecd.org/en/countries.html" TargetMode="External"/><Relationship Id="rId12" Type="http://schemas.openxmlformats.org/officeDocument/2006/relationships/hyperlink" Target="https://www.oecd.org/en/publications/oecd-review-of-fisheries-2025_560cd8fc-en.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ata-explorer.oecd.org/s/1k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o.org/cwp-on-fishery-statistics/handbook/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o.org/cwp-on-fishery-statistics/handbook/capture-fisheries-statistics/fishery-fleet/en/" TargetMode="External"/><Relationship Id="rId14" Type="http://schemas.openxmlformats.org/officeDocument/2006/relationships/hyperlink" Target="file:///C:\Users\Cerasa_F\Downloads\tad.contact@oe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2985-8A09-4E43-A366-648D06B0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3468</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6</cp:revision>
  <dcterms:created xsi:type="dcterms:W3CDTF">2025-03-26T13:55:00Z</dcterms:created>
  <dcterms:modified xsi:type="dcterms:W3CDTF">2025-03-26T14:26:00Z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4ed30cb,6aff51db,398eb0b3</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2025-02-14T15:44:09Z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5011c76e-95c3-46dc-99a1-4d540b43222c</vt:lpwstr>
  </property>
  <property fmtid="{D5CDD505-2E9C-101B-9397-08002B2CF9AE}" pid="11" name="MSIP_Label_0e5510b0-e729-4ef0-a3dd-4ba0dfe56c99_ContentBits">
    <vt:lpwstr>2</vt:lpwstr>
  </property>
</Properties>
</file>