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8232" w14:textId="14868804" w:rsidR="00D9639F" w:rsidRDefault="00D865C7" w:rsidP="00016488">
      <w:pPr>
        <w:pStyle w:val="Heading1"/>
        <w:jc w:val="both"/>
        <w:rPr>
          <w:lang w:val="en-US"/>
        </w:rPr>
      </w:pPr>
      <w:bookmarkStart w:id="0" w:name="_Hlk190453163"/>
      <w:r>
        <w:rPr>
          <w:lang w:val="en-US"/>
        </w:rPr>
        <w:t>Aquaculture production</w:t>
      </w:r>
    </w:p>
    <w:bookmarkEnd w:id="0"/>
    <w:p w14:paraId="4F338D32" w14:textId="1B423459" w:rsidR="00D865C7" w:rsidRDefault="00D865C7" w:rsidP="00016488">
      <w:pPr>
        <w:pStyle w:val="Heading2"/>
        <w:jc w:val="both"/>
        <w:rPr>
          <w:lang w:val="en-US"/>
        </w:rPr>
      </w:pPr>
      <w:r>
        <w:rPr>
          <w:lang w:val="en-US"/>
        </w:rPr>
        <w:t>General notes</w:t>
      </w:r>
    </w:p>
    <w:p w14:paraId="0281E33F" w14:textId="1461FE4A" w:rsidR="00D865C7" w:rsidRDefault="00D865C7" w:rsidP="00016488">
      <w:pPr>
        <w:jc w:val="both"/>
        <w:rPr>
          <w:lang w:val="en-US"/>
        </w:rPr>
      </w:pPr>
      <w:r w:rsidRPr="00D865C7">
        <w:rPr>
          <w:lang w:val="en-US"/>
        </w:rPr>
        <w:t>This dataset covers annual series of aquaculture production in volume and value, expressed respectively in live weight tonnes and US dollars.</w:t>
      </w:r>
    </w:p>
    <w:p w14:paraId="582072CC" w14:textId="084D592B" w:rsidR="00AD2884" w:rsidRDefault="008C2C5B" w:rsidP="00016488">
      <w:pPr>
        <w:jc w:val="both"/>
        <w:rPr>
          <w:lang w:val="en-US"/>
        </w:rPr>
      </w:pPr>
      <w:hyperlink r:id="rId7" w:history="1">
        <w:r w:rsidR="00D865C7" w:rsidRPr="00AD2884">
          <w:rPr>
            <w:rStyle w:val="Hyperlink"/>
            <w:lang w:val="en-US"/>
          </w:rPr>
          <w:t>Aquaculture</w:t>
        </w:r>
      </w:hyperlink>
      <w:r w:rsidR="00D865C7" w:rsidRPr="00D865C7">
        <w:rPr>
          <w:lang w:val="en-US"/>
        </w:rPr>
        <w:t xml:space="preserve"> is the farming of aquatic organisms including fish, molluscs, crustaceans and aquatic plants. Farming implies some form of intervention in the rearing process to enhance production, such as regular stocking, feeding, protection from predators, etc. Farming also implies individual or corporate ownership of the stock being cultivated. For statistical purposes, aquatic organisms which are harvested by an individual or corporate body which has owned them throughout their rearing period contribute to aquaculture while aquatic organisms which are exploitable by the public as a common property resource, with or without appropriate licenses, are the harvest of fisheries.</w:t>
      </w:r>
    </w:p>
    <w:p w14:paraId="34AC8E6E" w14:textId="70C8C5C2" w:rsidR="00AD2884" w:rsidRDefault="00AD2884" w:rsidP="00016488">
      <w:pPr>
        <w:jc w:val="both"/>
        <w:rPr>
          <w:lang w:val="en-US"/>
        </w:rPr>
      </w:pPr>
      <w:r w:rsidRPr="00AD2884">
        <w:rPr>
          <w:lang w:val="en-US"/>
        </w:rPr>
        <w:t>Fish, crustaceans, molluscs and all other aquatic organisms included in the dataset have been classified according to approximately 700 commercial species items, further arranged within the 50 groups of species constituting the nine divisions of the FAO International Standard Statistical Classification of Aquatic Animals and Plants (</w:t>
      </w:r>
      <w:hyperlink r:id="rId8" w:history="1">
        <w:r w:rsidRPr="00AD2884">
          <w:rPr>
            <w:rStyle w:val="Hyperlink"/>
            <w:lang w:val="en-US"/>
          </w:rPr>
          <w:t>ISSCAAP</w:t>
        </w:r>
      </w:hyperlink>
      <w:r w:rsidRPr="00AD2884">
        <w:rPr>
          <w:lang w:val="en-US"/>
        </w:rPr>
        <w:t>). The taxonomic code descriptors are taken from the "</w:t>
      </w:r>
      <w:hyperlink r:id="rId9" w:history="1">
        <w:r w:rsidRPr="00AD2884">
          <w:rPr>
            <w:rStyle w:val="Hyperlink"/>
            <w:lang w:val="en-US"/>
          </w:rPr>
          <w:t>ASFIS list of species for fishery statistics purposes</w:t>
        </w:r>
      </w:hyperlink>
      <w:r w:rsidRPr="00AD2884">
        <w:rPr>
          <w:lang w:val="en-US"/>
        </w:rPr>
        <w:t>" (version 2023). Please note that the list of species disseminated might not adhere entirely to ASFIS (version 2023) due to differing publication schedules.</w:t>
      </w:r>
    </w:p>
    <w:p w14:paraId="08007C12" w14:textId="77777777" w:rsidR="007455F7" w:rsidRPr="00D865C7" w:rsidRDefault="007455F7" w:rsidP="007455F7">
      <w:pPr>
        <w:jc w:val="both"/>
        <w:rPr>
          <w:lang w:val="en-US"/>
        </w:rPr>
      </w:pPr>
      <w:r w:rsidRPr="00D865C7">
        <w:rPr>
          <w:lang w:val="en-US"/>
        </w:rPr>
        <w:t>The word "countries" appearing in the text refers to countries, territories and areas without distinction.</w:t>
      </w:r>
    </w:p>
    <w:p w14:paraId="2D90584B" w14:textId="554B2955" w:rsidR="00D865C7" w:rsidRDefault="00D865C7" w:rsidP="00016488">
      <w:pPr>
        <w:jc w:val="both"/>
        <w:rPr>
          <w:lang w:val="en-US"/>
        </w:rPr>
      </w:pPr>
      <w:r w:rsidRPr="00D865C7">
        <w:rPr>
          <w:lang w:val="en-US"/>
        </w:rPr>
        <w:t>The statistical population is the set of countries participating in the work of the OECD Committee for Fisheries (COFI), i.e. the OECD members plus some partners economies.</w:t>
      </w:r>
    </w:p>
    <w:p w14:paraId="37C64CB3" w14:textId="77777777" w:rsidR="00FE6063" w:rsidRDefault="00FE6063" w:rsidP="00FE6063">
      <w:pPr>
        <w:jc w:val="both"/>
        <w:rPr>
          <w:lang w:val="en-US"/>
        </w:rPr>
      </w:pPr>
      <w:r>
        <w:rPr>
          <w:lang w:val="en-US"/>
        </w:rPr>
        <w:t>T</w:t>
      </w:r>
      <w:r w:rsidRPr="00D865C7">
        <w:rPr>
          <w:lang w:val="en-US"/>
        </w:rPr>
        <w:t>o facilitate analysis and comparisons over time, historical data for OECD members have been provided over as long a period as possible, often even before a country became a member of the Organisation.</w:t>
      </w:r>
      <w:r>
        <w:rPr>
          <w:lang w:val="en-US"/>
        </w:rPr>
        <w:t xml:space="preserve"> </w:t>
      </w:r>
      <w:r w:rsidRPr="00D865C7">
        <w:rPr>
          <w:lang w:val="en-US"/>
        </w:rPr>
        <w:t xml:space="preserve">Information on the membership dates of all OECD </w:t>
      </w:r>
      <w:r>
        <w:rPr>
          <w:lang w:val="en-US"/>
        </w:rPr>
        <w:t>members</w:t>
      </w:r>
      <w:r w:rsidRPr="00D865C7">
        <w:rPr>
          <w:lang w:val="en-US"/>
        </w:rPr>
        <w:t xml:space="preserve"> can be found </w:t>
      </w:r>
      <w:r>
        <w:rPr>
          <w:lang w:val="en-US"/>
        </w:rPr>
        <w:t xml:space="preserve">on the OECD </w:t>
      </w:r>
      <w:hyperlink r:id="rId10" w:history="1">
        <w:r>
          <w:rPr>
            <w:rStyle w:val="Hyperlink"/>
            <w:lang w:val="en-US"/>
          </w:rPr>
          <w:t>website</w:t>
        </w:r>
      </w:hyperlink>
      <w:r w:rsidRPr="00D865C7">
        <w:rPr>
          <w:lang w:val="en-US"/>
        </w:rPr>
        <w:t>.</w:t>
      </w:r>
    </w:p>
    <w:p w14:paraId="4C600ACE" w14:textId="554B2955" w:rsidR="00BD6974" w:rsidRDefault="00BD6974" w:rsidP="00016488">
      <w:pPr>
        <w:jc w:val="both"/>
        <w:rPr>
          <w:lang w:val="en-US"/>
        </w:rPr>
      </w:pPr>
      <w:r w:rsidRPr="00D865C7">
        <w:rPr>
          <w:lang w:val="en-US"/>
        </w:rPr>
        <w:t>Several countries still report their aquaculture production by large groups of species. In these circumstances the data presented by individual species items are likely to be underestimated. Therefore, when examining the statistics for a particular species, it should be noted that an unknown proportion of the production for that species might have been reported by the national office under the generic, family or order name of the species, or even more roughly as 'fishes not identified'. Consequently, species item totals frequently underestimate the real production of the individual species.</w:t>
      </w:r>
    </w:p>
    <w:p w14:paraId="7D66A699" w14:textId="77777777" w:rsidR="00BD6974" w:rsidRDefault="00BD6974" w:rsidP="00016488">
      <w:pPr>
        <w:jc w:val="both"/>
        <w:rPr>
          <w:lang w:val="en-US"/>
        </w:rPr>
      </w:pPr>
      <w:r w:rsidRPr="00D865C7">
        <w:rPr>
          <w:lang w:val="en-US"/>
        </w:rPr>
        <w:t>Where necessary, any data published in previous releases of this dataset have been revised. Where the figures in the current release differ from those previously published, the amended data represent the most recent version. Some statistics provided to FAO by national offices, in particular those for the last year, are provisional and may be amended in future editions.</w:t>
      </w:r>
    </w:p>
    <w:p w14:paraId="7F5CB819" w14:textId="7CCDF810" w:rsidR="00D865C7" w:rsidRDefault="00D865C7" w:rsidP="00016488">
      <w:pPr>
        <w:jc w:val="both"/>
        <w:rPr>
          <w:lang w:val="en-US"/>
        </w:rPr>
      </w:pPr>
      <w:r w:rsidRPr="00D865C7">
        <w:rPr>
          <w:lang w:val="en-US"/>
        </w:rPr>
        <w:t xml:space="preserve">Production of fish, crustaceans and molluscs is expressed in live weight, that is the nominal weight of the aquatic organisms at the time of capture. The harvest of aquatic plants is given in </w:t>
      </w:r>
      <w:r w:rsidRPr="00D865C7">
        <w:rPr>
          <w:lang w:val="en-US"/>
        </w:rPr>
        <w:lastRenderedPageBreak/>
        <w:t>wet weight. Quantities are given in tonnes (=1000 kg). The value of aquaculture, converted from local currencies, is reported in US dollars using appropriate exchange rates and is expressed in nominal terms.</w:t>
      </w:r>
    </w:p>
    <w:p w14:paraId="75CA8B88" w14:textId="1B7D685D" w:rsidR="00D865C7" w:rsidRDefault="00D865C7" w:rsidP="00016488">
      <w:pPr>
        <w:jc w:val="both"/>
        <w:rPr>
          <w:lang w:val="en-US"/>
        </w:rPr>
      </w:pPr>
      <w:r w:rsidRPr="00D865C7">
        <w:rPr>
          <w:lang w:val="en-US"/>
        </w:rPr>
        <w:t>The annual period used is the calendar year (1 January - 31 December), with the exceptions of data for some countries for which a split-year is used. Split-year data are shown under the calendar year in which the split-year ends.</w:t>
      </w:r>
      <w:r>
        <w:rPr>
          <w:lang w:val="en-US"/>
        </w:rPr>
        <w:t xml:space="preserve"> </w:t>
      </w:r>
      <w:r w:rsidRPr="00D865C7">
        <w:rPr>
          <w:lang w:val="en-US"/>
        </w:rPr>
        <w:t xml:space="preserve">For exceptions, please see the </w:t>
      </w:r>
      <w:r>
        <w:rPr>
          <w:lang w:val="en-US"/>
        </w:rPr>
        <w:t>notes on individual countries or areas</w:t>
      </w:r>
      <w:r w:rsidRPr="00D865C7">
        <w:rPr>
          <w:lang w:val="en-US"/>
        </w:rPr>
        <w:t>.</w:t>
      </w:r>
    </w:p>
    <w:p w14:paraId="641A4498" w14:textId="08A879CD" w:rsidR="00D865C7" w:rsidRDefault="00D865C7" w:rsidP="00016488">
      <w:pPr>
        <w:jc w:val="both"/>
        <w:rPr>
          <w:lang w:val="en-US"/>
        </w:rPr>
      </w:pPr>
      <w:r w:rsidRPr="00D865C7">
        <w:rPr>
          <w:lang w:val="en-US"/>
        </w:rPr>
        <w:t>Figures flagged with '</w:t>
      </w:r>
      <w:r w:rsidR="008132E8">
        <w:rPr>
          <w:lang w:val="en-US"/>
        </w:rPr>
        <w:t>I</w:t>
      </w:r>
      <w:r w:rsidRPr="00D865C7">
        <w:rPr>
          <w:lang w:val="en-US"/>
        </w:rPr>
        <w:t>' corresponds to FAO estimates from available sources of information.</w:t>
      </w:r>
    </w:p>
    <w:p w14:paraId="5FD9E498" w14:textId="231DEE09" w:rsidR="00D865C7" w:rsidRDefault="00D865C7" w:rsidP="00016488">
      <w:pPr>
        <w:jc w:val="both"/>
        <w:rPr>
          <w:lang w:val="en-US"/>
        </w:rPr>
      </w:pPr>
      <w:r>
        <w:rPr>
          <w:lang w:val="en-US"/>
        </w:rPr>
        <w:t xml:space="preserve">The source of these data is </w:t>
      </w:r>
      <w:r w:rsidRPr="00D865C7">
        <w:rPr>
          <w:lang w:val="en-US"/>
        </w:rPr>
        <w:t xml:space="preserve">FAO. 2024. FishStat: Global aquaculture production 1950-2022. [Accessed on 17 April 2024]. In: </w:t>
      </w:r>
      <w:hyperlink r:id="rId11" w:history="1">
        <w:r w:rsidRPr="00AD2884">
          <w:rPr>
            <w:rStyle w:val="Hyperlink"/>
            <w:lang w:val="en-US"/>
          </w:rPr>
          <w:t>FishStatJ</w:t>
        </w:r>
      </w:hyperlink>
      <w:r w:rsidRPr="00D865C7">
        <w:rPr>
          <w:lang w:val="en-US"/>
        </w:rPr>
        <w:t>. Licence: CC-BY-4.0.</w:t>
      </w:r>
      <w:r>
        <w:rPr>
          <w:lang w:val="en-US"/>
        </w:rPr>
        <w:t xml:space="preserve"> </w:t>
      </w:r>
    </w:p>
    <w:p w14:paraId="69631C31" w14:textId="77777777" w:rsidR="00AD2884" w:rsidRDefault="00AD2884" w:rsidP="00016488">
      <w:pPr>
        <w:jc w:val="both"/>
        <w:rPr>
          <w:lang w:val="en-US"/>
        </w:rPr>
      </w:pPr>
      <w:r w:rsidRPr="00D865C7">
        <w:rPr>
          <w:lang w:val="en-US"/>
        </w:rPr>
        <w:t xml:space="preserve">The methodological reference document for fisheries and aquaculture statistics is the </w:t>
      </w:r>
      <w:hyperlink r:id="rId12" w:history="1">
        <w:r w:rsidRPr="00AD2884">
          <w:rPr>
            <w:rStyle w:val="Hyperlink"/>
            <w:lang w:val="en-US"/>
          </w:rPr>
          <w:t>CWP Handbook of Fishery Statistics</w:t>
        </w:r>
      </w:hyperlink>
      <w:r w:rsidRPr="00D865C7">
        <w:rPr>
          <w:lang w:val="en-US"/>
        </w:rPr>
        <w:t>.</w:t>
      </w:r>
    </w:p>
    <w:p w14:paraId="02792D15" w14:textId="4F8ACE7B" w:rsidR="00EA7DC1" w:rsidRDefault="00BB792B" w:rsidP="00EA7DC1">
      <w:pPr>
        <w:jc w:val="both"/>
        <w:rPr>
          <w:lang w:val="en-US"/>
        </w:rPr>
      </w:pPr>
      <w:r>
        <w:rPr>
          <w:lang w:val="en-US"/>
        </w:rPr>
        <w:t>Data on a</w:t>
      </w:r>
      <w:r w:rsidR="00EA7DC1">
        <w:rPr>
          <w:lang w:val="en-US"/>
        </w:rPr>
        <w:t xml:space="preserve">quaculture production </w:t>
      </w:r>
      <w:r w:rsidR="00EA7DC1" w:rsidRPr="00DC43E6">
        <w:rPr>
          <w:lang w:val="en-US"/>
        </w:rPr>
        <w:t xml:space="preserve">are disseminated on-line in the </w:t>
      </w:r>
      <w:hyperlink r:id="rId13" w:history="1">
        <w:r w:rsidR="00EA7DC1" w:rsidRPr="000A550D">
          <w:rPr>
            <w:rStyle w:val="Hyperlink"/>
            <w:lang w:val="en-US"/>
          </w:rPr>
          <w:t>Fisheries and Aquaculture</w:t>
        </w:r>
      </w:hyperlink>
      <w:r w:rsidR="00EA7DC1" w:rsidRPr="00DC43E6">
        <w:rPr>
          <w:lang w:val="en-US"/>
        </w:rPr>
        <w:t xml:space="preserve"> statistics domain of OECD Data Explorer and in the biennial publication </w:t>
      </w:r>
      <w:hyperlink r:id="rId14" w:history="1">
        <w:r w:rsidR="00EA7DC1" w:rsidRPr="000A550D">
          <w:rPr>
            <w:rStyle w:val="Hyperlink"/>
            <w:lang w:val="en-US"/>
          </w:rPr>
          <w:t>OECD Review of Fisheries</w:t>
        </w:r>
      </w:hyperlink>
      <w:r w:rsidR="00EA7DC1">
        <w:rPr>
          <w:lang w:val="en-US"/>
        </w:rPr>
        <w:t xml:space="preserve">. </w:t>
      </w:r>
      <w:r w:rsidR="00EA7DC1" w:rsidRPr="00894840">
        <w:rPr>
          <w:lang w:val="en-US"/>
        </w:rPr>
        <w:t xml:space="preserve">More information on fisheries policies and future challenges are available on the OECD dedicated </w:t>
      </w:r>
      <w:hyperlink r:id="rId15" w:history="1">
        <w:r w:rsidR="00EA7DC1" w:rsidRPr="00576686">
          <w:rPr>
            <w:rStyle w:val="Hyperlink"/>
            <w:lang w:val="en-US"/>
          </w:rPr>
          <w:t>webpage</w:t>
        </w:r>
      </w:hyperlink>
      <w:r w:rsidR="00EA7DC1" w:rsidRPr="00894840">
        <w:rPr>
          <w:lang w:val="en-US"/>
        </w:rPr>
        <w:t xml:space="preserve">. </w:t>
      </w:r>
    </w:p>
    <w:p w14:paraId="1D803C8B" w14:textId="73BDFA6B" w:rsidR="000F1967" w:rsidRDefault="00D865C7" w:rsidP="00016488">
      <w:pPr>
        <w:jc w:val="both"/>
        <w:rPr>
          <w:rFonts w:asciiTheme="majorHAnsi" w:eastAsiaTheme="majorEastAsia" w:hAnsiTheme="majorHAnsi" w:cstheme="majorBidi"/>
          <w:color w:val="2E74B5" w:themeColor="accent1" w:themeShade="BF"/>
          <w:sz w:val="32"/>
          <w:szCs w:val="32"/>
          <w:lang w:val="en-US"/>
        </w:rPr>
      </w:pPr>
      <w:r w:rsidRPr="00D865C7">
        <w:rPr>
          <w:lang w:val="en-US"/>
        </w:rPr>
        <w:t xml:space="preserve">For any further questions please contact: </w:t>
      </w:r>
      <w:hyperlink r:id="rId16" w:history="1">
        <w:r w:rsidRPr="00E776FC">
          <w:rPr>
            <w:rStyle w:val="Hyperlink"/>
            <w:lang w:val="en-US"/>
          </w:rPr>
          <w:t>tad.contact@oecd.org</w:t>
        </w:r>
      </w:hyperlink>
      <w:r>
        <w:rPr>
          <w:lang w:val="en-US"/>
        </w:rPr>
        <w:t>.</w:t>
      </w:r>
    </w:p>
    <w:sectPr w:rsidR="000F1967">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F3FF" w14:textId="77777777" w:rsidR="00662133" w:rsidRDefault="00662133" w:rsidP="00662133">
      <w:pPr>
        <w:spacing w:after="0" w:line="240" w:lineRule="auto"/>
      </w:pPr>
      <w:r>
        <w:separator/>
      </w:r>
    </w:p>
  </w:endnote>
  <w:endnote w:type="continuationSeparator" w:id="0">
    <w:p w14:paraId="66214B31" w14:textId="77777777" w:rsidR="00662133" w:rsidRDefault="00662133" w:rsidP="0066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E665" w14:textId="0509CFCE" w:rsidR="00662133" w:rsidRDefault="00662133">
    <w:pPr>
      <w:pStyle w:val="Footer"/>
    </w:pPr>
    <w:r>
      <w:rPr>
        <w:noProof/>
      </w:rPr>
      <mc:AlternateContent>
        <mc:Choice Requires="wps">
          <w:drawing>
            <wp:anchor distT="0" distB="0" distL="0" distR="0" simplePos="0" relativeHeight="251659264" behindDoc="0" locked="0" layoutInCell="1" allowOverlap="1" wp14:anchorId="6475CE9A" wp14:editId="2F9B4569">
              <wp:simplePos x="635" y="635"/>
              <wp:positionH relativeFrom="page">
                <wp:align>center</wp:align>
              </wp:positionH>
              <wp:positionV relativeFrom="page">
                <wp:align>bottom</wp:align>
              </wp:positionV>
              <wp:extent cx="1720215" cy="357505"/>
              <wp:effectExtent l="0" t="0" r="13335" b="0"/>
              <wp:wrapNone/>
              <wp:docPr id="179511753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5CE9A"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fill o:detectmouseclick="t"/>
              <v:textbox style="mso-fit-shape-to-text:t" inset="0,0,0,15pt">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947D" w14:textId="3130BBD9" w:rsidR="00662133" w:rsidRDefault="00662133">
    <w:pPr>
      <w:pStyle w:val="Footer"/>
    </w:pPr>
    <w:r>
      <w:rPr>
        <w:noProof/>
      </w:rPr>
      <mc:AlternateContent>
        <mc:Choice Requires="wps">
          <w:drawing>
            <wp:anchor distT="0" distB="0" distL="0" distR="0" simplePos="0" relativeHeight="251660288" behindDoc="0" locked="0" layoutInCell="1" allowOverlap="1" wp14:anchorId="35A34894" wp14:editId="07D4C5F8">
              <wp:simplePos x="914400" y="10074729"/>
              <wp:positionH relativeFrom="page">
                <wp:align>center</wp:align>
              </wp:positionH>
              <wp:positionV relativeFrom="page">
                <wp:align>bottom</wp:align>
              </wp:positionV>
              <wp:extent cx="1720215" cy="357505"/>
              <wp:effectExtent l="0" t="0" r="13335" b="0"/>
              <wp:wrapNone/>
              <wp:docPr id="96565265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34894"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fill o:detectmouseclick="t"/>
              <v:textbox style="mso-fit-shape-to-text:t" inset="0,0,0,15pt">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DD62" w14:textId="47C47E52" w:rsidR="00662133" w:rsidRDefault="00662133">
    <w:pPr>
      <w:pStyle w:val="Footer"/>
    </w:pPr>
    <w:r>
      <w:rPr>
        <w:noProof/>
      </w:rPr>
      <mc:AlternateContent>
        <mc:Choice Requires="wps">
          <w:drawing>
            <wp:anchor distT="0" distB="0" distL="0" distR="0" simplePos="0" relativeHeight="251658240" behindDoc="0" locked="0" layoutInCell="1" allowOverlap="1" wp14:anchorId="582EE9B4" wp14:editId="057049E2">
              <wp:simplePos x="635" y="635"/>
              <wp:positionH relativeFrom="page">
                <wp:align>center</wp:align>
              </wp:positionH>
              <wp:positionV relativeFrom="page">
                <wp:align>bottom</wp:align>
              </wp:positionV>
              <wp:extent cx="1720215" cy="357505"/>
              <wp:effectExtent l="0" t="0" r="13335" b="0"/>
              <wp:wrapNone/>
              <wp:docPr id="82653387"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EE9B4"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fill o:detectmouseclick="t"/>
              <v:textbox style="mso-fit-shape-to-text:t" inset="0,0,0,15pt">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C74D" w14:textId="77777777" w:rsidR="00662133" w:rsidRDefault="00662133" w:rsidP="00662133">
      <w:pPr>
        <w:spacing w:after="0" w:line="240" w:lineRule="auto"/>
      </w:pPr>
      <w:r>
        <w:separator/>
      </w:r>
    </w:p>
  </w:footnote>
  <w:footnote w:type="continuationSeparator" w:id="0">
    <w:p w14:paraId="1550A069" w14:textId="77777777" w:rsidR="00662133" w:rsidRDefault="00662133" w:rsidP="006621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33"/>
    <w:rsid w:val="00016488"/>
    <w:rsid w:val="000F1967"/>
    <w:rsid w:val="00105544"/>
    <w:rsid w:val="00126BAA"/>
    <w:rsid w:val="001723C4"/>
    <w:rsid w:val="001D34EF"/>
    <w:rsid w:val="00662133"/>
    <w:rsid w:val="006978B8"/>
    <w:rsid w:val="007455F7"/>
    <w:rsid w:val="007631CD"/>
    <w:rsid w:val="008132E8"/>
    <w:rsid w:val="008405F2"/>
    <w:rsid w:val="00890381"/>
    <w:rsid w:val="008C2C5B"/>
    <w:rsid w:val="009D0A1F"/>
    <w:rsid w:val="00AB1307"/>
    <w:rsid w:val="00AC360E"/>
    <w:rsid w:val="00AD2884"/>
    <w:rsid w:val="00BB792B"/>
    <w:rsid w:val="00BD6974"/>
    <w:rsid w:val="00C60178"/>
    <w:rsid w:val="00CF1F58"/>
    <w:rsid w:val="00D432F6"/>
    <w:rsid w:val="00D865C7"/>
    <w:rsid w:val="00D9639F"/>
    <w:rsid w:val="00E776FC"/>
    <w:rsid w:val="00EA7DC1"/>
    <w:rsid w:val="00F620B4"/>
    <w:rsid w:val="00FE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FEF"/>
  <w15:chartTrackingRefBased/>
  <w15:docId w15:val="{75DC5A13-6E36-41C9-B511-C92D0DC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621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21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21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21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621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21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21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21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33"/>
    <w:rPr>
      <w:rFonts w:eastAsiaTheme="majorEastAsia" w:cstheme="majorBidi"/>
      <w:color w:val="272727" w:themeColor="text1" w:themeTint="D8"/>
    </w:rPr>
  </w:style>
  <w:style w:type="paragraph" w:styleId="Title">
    <w:name w:val="Title"/>
    <w:basedOn w:val="Normal"/>
    <w:next w:val="Normal"/>
    <w:link w:val="TitleChar"/>
    <w:uiPriority w:val="10"/>
    <w:qFormat/>
    <w:rsid w:val="0066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33"/>
    <w:pPr>
      <w:spacing w:before="160"/>
      <w:jc w:val="center"/>
    </w:pPr>
    <w:rPr>
      <w:i/>
      <w:iCs/>
      <w:color w:val="404040" w:themeColor="text1" w:themeTint="BF"/>
    </w:rPr>
  </w:style>
  <w:style w:type="character" w:customStyle="1" w:styleId="QuoteChar">
    <w:name w:val="Quote Char"/>
    <w:basedOn w:val="DefaultParagraphFont"/>
    <w:link w:val="Quote"/>
    <w:uiPriority w:val="29"/>
    <w:rsid w:val="00662133"/>
    <w:rPr>
      <w:i/>
      <w:iCs/>
      <w:color w:val="404040" w:themeColor="text1" w:themeTint="BF"/>
    </w:rPr>
  </w:style>
  <w:style w:type="paragraph" w:styleId="ListParagraph">
    <w:name w:val="List Paragraph"/>
    <w:basedOn w:val="Normal"/>
    <w:uiPriority w:val="34"/>
    <w:qFormat/>
    <w:rsid w:val="00662133"/>
    <w:pPr>
      <w:ind w:left="720"/>
      <w:contextualSpacing/>
    </w:pPr>
  </w:style>
  <w:style w:type="character" w:styleId="IntenseEmphasis">
    <w:name w:val="Intense Emphasis"/>
    <w:basedOn w:val="DefaultParagraphFont"/>
    <w:uiPriority w:val="21"/>
    <w:qFormat/>
    <w:rsid w:val="00662133"/>
    <w:rPr>
      <w:i/>
      <w:iCs/>
      <w:color w:val="2E74B5" w:themeColor="accent1" w:themeShade="BF"/>
    </w:rPr>
  </w:style>
  <w:style w:type="paragraph" w:styleId="IntenseQuote">
    <w:name w:val="Intense Quote"/>
    <w:basedOn w:val="Normal"/>
    <w:next w:val="Normal"/>
    <w:link w:val="IntenseQuoteChar"/>
    <w:uiPriority w:val="30"/>
    <w:qFormat/>
    <w:rsid w:val="006621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2133"/>
    <w:rPr>
      <w:i/>
      <w:iCs/>
      <w:color w:val="2E74B5" w:themeColor="accent1" w:themeShade="BF"/>
    </w:rPr>
  </w:style>
  <w:style w:type="character" w:styleId="IntenseReference">
    <w:name w:val="Intense Reference"/>
    <w:basedOn w:val="DefaultParagraphFont"/>
    <w:uiPriority w:val="32"/>
    <w:qFormat/>
    <w:rsid w:val="00662133"/>
    <w:rPr>
      <w:b/>
      <w:bCs/>
      <w:smallCaps/>
      <w:color w:val="2E74B5" w:themeColor="accent1" w:themeShade="BF"/>
      <w:spacing w:val="5"/>
    </w:rPr>
  </w:style>
  <w:style w:type="paragraph" w:styleId="Footer">
    <w:name w:val="footer"/>
    <w:basedOn w:val="Normal"/>
    <w:link w:val="FooterChar"/>
    <w:uiPriority w:val="99"/>
    <w:unhideWhenUsed/>
    <w:rsid w:val="00662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33"/>
  </w:style>
  <w:style w:type="character" w:styleId="Hyperlink">
    <w:name w:val="Hyperlink"/>
    <w:basedOn w:val="DefaultParagraphFont"/>
    <w:uiPriority w:val="99"/>
    <w:unhideWhenUsed/>
    <w:rsid w:val="00AD2884"/>
    <w:rPr>
      <w:color w:val="0563C1" w:themeColor="hyperlink"/>
      <w:u w:val="single"/>
    </w:rPr>
  </w:style>
  <w:style w:type="character" w:styleId="UnresolvedMention">
    <w:name w:val="Unresolved Mention"/>
    <w:basedOn w:val="DefaultParagraphFont"/>
    <w:uiPriority w:val="99"/>
    <w:semiHidden/>
    <w:unhideWhenUsed/>
    <w:rsid w:val="00AD2884"/>
    <w:rPr>
      <w:color w:val="605E5C"/>
      <w:shd w:val="clear" w:color="auto" w:fill="E1DFDD"/>
    </w:rPr>
  </w:style>
  <w:style w:type="character" w:styleId="FollowedHyperlink">
    <w:name w:val="FollowedHyperlink"/>
    <w:basedOn w:val="DefaultParagraphFont"/>
    <w:uiPriority w:val="99"/>
    <w:semiHidden/>
    <w:unhideWhenUsed/>
    <w:rsid w:val="00172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tempref/FI/DOCUMENT/cwp/handbook/annex/AnnexS2listISSCAAP2000.pdf" TargetMode="External"/><Relationship Id="rId13" Type="http://schemas.openxmlformats.org/officeDocument/2006/relationships/hyperlink" Target="http://data-explorer.oecd.org/s/1k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ao.org/cwp-on-fishery-statistics/handbook/aquaculture-statistics/en/" TargetMode="External"/><Relationship Id="rId12" Type="http://schemas.openxmlformats.org/officeDocument/2006/relationships/hyperlink" Target="http://www.fao.org/cwp-on-fishery-statistics/handbook/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tad.contact@oec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o.org/fishery/en/statistics/software/fishstatj" TargetMode="External"/><Relationship Id="rId5" Type="http://schemas.openxmlformats.org/officeDocument/2006/relationships/footnotes" Target="footnotes.xml"/><Relationship Id="rId15" Type="http://schemas.openxmlformats.org/officeDocument/2006/relationships/hyperlink" Target="https://www.oecd.org/en/topics/fisheries-and-aquaculture.html" TargetMode="External"/><Relationship Id="rId10" Type="http://schemas.openxmlformats.org/officeDocument/2006/relationships/hyperlink" Target="https://www.oecd.org/en/countries.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fao.org/fishery/collection/asfis/en" TargetMode="External"/><Relationship Id="rId14" Type="http://schemas.openxmlformats.org/officeDocument/2006/relationships/hyperlink" Target="https://www.oecd.org/en/publications/oecd-review-of-fisheries-2025_560cd8fc-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2985-8A09-4E43-A366-648D06B0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770</Words>
  <Characters>4394</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10</cp:revision>
  <dcterms:created xsi:type="dcterms:W3CDTF">2025-02-14T20:01:00Z</dcterms:created>
  <dcterms:modified xsi:type="dcterms:W3CDTF">2025-03-26T14:26:00Z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4ed30cb,6aff51db,398eb0b3</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2025-02-14T15:44:09Z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5011c76e-95c3-46dc-99a1-4d540b43222c</vt:lpwstr>
  </property>
  <property fmtid="{D5CDD505-2E9C-101B-9397-08002B2CF9AE}" pid="11" name="MSIP_Label_0e5510b0-e729-4ef0-a3dd-4ba0dfe56c99_ContentBits">
    <vt:lpwstr>2</vt:lpwstr>
  </property>
</Properties>
</file>